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0E5A" w14:textId="1D6C6459" w:rsidR="00CE2FA1" w:rsidRDefault="00CE2FA1" w:rsidP="00CE2FA1">
      <w:pPr>
        <w:jc w:val="center"/>
        <w:rPr>
          <w:b/>
          <w:sz w:val="36"/>
          <w:szCs w:val="36"/>
        </w:rPr>
      </w:pPr>
      <w:r>
        <w:rPr>
          <w:b/>
          <w:noProof/>
          <w:sz w:val="36"/>
          <w:szCs w:val="36"/>
          <w:lang w:val="en-US"/>
        </w:rPr>
        <w:drawing>
          <wp:anchor distT="0" distB="0" distL="114300" distR="114300" simplePos="0" relativeHeight="251658240" behindDoc="0" locked="0" layoutInCell="1" allowOverlap="1" wp14:anchorId="6D8A7A6A" wp14:editId="50FC4A82">
            <wp:simplePos x="0" y="0"/>
            <wp:positionH relativeFrom="column">
              <wp:posOffset>4740789</wp:posOffset>
            </wp:positionH>
            <wp:positionV relativeFrom="paragraph">
              <wp:posOffset>16</wp:posOffset>
            </wp:positionV>
            <wp:extent cx="1264920" cy="1264920"/>
            <wp:effectExtent l="0" t="0" r="5080" b="5080"/>
            <wp:wrapSquare wrapText="bothSides"/>
            <wp:docPr id="1" name="Picture 1" descr="Logos/UNE_SPOT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UNE_SPOT_C.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C34227" w14:textId="77777777" w:rsidR="00CE2FA1" w:rsidRDefault="00CE2FA1" w:rsidP="00CE2FA1">
      <w:pPr>
        <w:jc w:val="center"/>
        <w:rPr>
          <w:b/>
          <w:sz w:val="36"/>
          <w:szCs w:val="36"/>
        </w:rPr>
      </w:pPr>
    </w:p>
    <w:p w14:paraId="52CDC5B5" w14:textId="77777777" w:rsidR="00CE2FA1" w:rsidRDefault="00CE2FA1" w:rsidP="00CE2FA1">
      <w:pPr>
        <w:jc w:val="center"/>
        <w:rPr>
          <w:b/>
          <w:sz w:val="36"/>
          <w:szCs w:val="36"/>
        </w:rPr>
      </w:pPr>
    </w:p>
    <w:p w14:paraId="3B268E31" w14:textId="77777777" w:rsidR="00CE2FA1" w:rsidRDefault="00CE2FA1" w:rsidP="00CE2FA1">
      <w:pPr>
        <w:jc w:val="center"/>
        <w:rPr>
          <w:b/>
          <w:sz w:val="36"/>
          <w:szCs w:val="36"/>
        </w:rPr>
      </w:pPr>
    </w:p>
    <w:p w14:paraId="41422871" w14:textId="6FD36F94" w:rsidR="0043194F" w:rsidRDefault="00B6642C" w:rsidP="00CE2FA1">
      <w:pPr>
        <w:jc w:val="center"/>
        <w:rPr>
          <w:b/>
          <w:sz w:val="36"/>
          <w:szCs w:val="36"/>
        </w:rPr>
      </w:pPr>
      <w:r w:rsidRPr="00CE2FA1">
        <w:rPr>
          <w:b/>
          <w:sz w:val="36"/>
          <w:szCs w:val="36"/>
        </w:rPr>
        <w:t>Minimum Metadata Fields</w:t>
      </w:r>
      <w:r w:rsidR="00CE2FA1" w:rsidRPr="00CE2FA1">
        <w:rPr>
          <w:b/>
          <w:sz w:val="36"/>
          <w:szCs w:val="36"/>
        </w:rPr>
        <w:t xml:space="preserve"> for Research Data</w:t>
      </w:r>
    </w:p>
    <w:tbl>
      <w:tblPr>
        <w:tblStyle w:val="TableGrid"/>
        <w:tblpPr w:leftFromText="180" w:rightFromText="180" w:vertAnchor="page" w:horzAnchor="page" w:tblpX="1630" w:tblpY="4685"/>
        <w:tblW w:w="8926" w:type="dxa"/>
        <w:tblLook w:val="04A0" w:firstRow="1" w:lastRow="0" w:firstColumn="1" w:lastColumn="0" w:noHBand="0" w:noVBand="1"/>
      </w:tblPr>
      <w:tblGrid>
        <w:gridCol w:w="3348"/>
        <w:gridCol w:w="5578"/>
      </w:tblGrid>
      <w:tr w:rsidR="00CE2FA1" w14:paraId="5AF76B77" w14:textId="77777777" w:rsidTr="00CE2FA1">
        <w:trPr>
          <w:trHeight w:val="298"/>
        </w:trPr>
        <w:tc>
          <w:tcPr>
            <w:tcW w:w="3348" w:type="dxa"/>
          </w:tcPr>
          <w:p w14:paraId="6E2EEE39" w14:textId="77777777" w:rsidR="00CE2FA1" w:rsidRPr="00CE2FA1" w:rsidRDefault="00CE2FA1" w:rsidP="00CE2FA1">
            <w:pPr>
              <w:rPr>
                <w:b/>
                <w:sz w:val="28"/>
                <w:szCs w:val="28"/>
              </w:rPr>
            </w:pPr>
            <w:r w:rsidRPr="00CE2FA1">
              <w:rPr>
                <w:b/>
                <w:sz w:val="28"/>
                <w:szCs w:val="28"/>
              </w:rPr>
              <w:t xml:space="preserve">Metadata </w:t>
            </w:r>
            <w:r>
              <w:rPr>
                <w:b/>
                <w:sz w:val="28"/>
                <w:szCs w:val="28"/>
              </w:rPr>
              <w:t>fields</w:t>
            </w:r>
          </w:p>
        </w:tc>
        <w:tc>
          <w:tcPr>
            <w:tcW w:w="5578" w:type="dxa"/>
          </w:tcPr>
          <w:p w14:paraId="1975E5A3" w14:textId="77777777" w:rsidR="00CE2FA1" w:rsidRPr="00CE2FA1" w:rsidRDefault="00CE2FA1" w:rsidP="00CE2FA1">
            <w:pPr>
              <w:rPr>
                <w:b/>
                <w:sz w:val="28"/>
                <w:szCs w:val="28"/>
              </w:rPr>
            </w:pPr>
            <w:r w:rsidRPr="00CE2FA1">
              <w:rPr>
                <w:b/>
                <w:sz w:val="28"/>
                <w:szCs w:val="28"/>
              </w:rPr>
              <w:t>Description*</w:t>
            </w:r>
          </w:p>
        </w:tc>
      </w:tr>
      <w:tr w:rsidR="00CE2FA1" w14:paraId="613107D0" w14:textId="77777777" w:rsidTr="00CE2FA1">
        <w:tc>
          <w:tcPr>
            <w:tcW w:w="3348" w:type="dxa"/>
          </w:tcPr>
          <w:p w14:paraId="74DD9E22" w14:textId="77777777" w:rsidR="00CE2FA1" w:rsidRPr="00CE2FA1" w:rsidRDefault="00CE2FA1" w:rsidP="00CE2FA1">
            <w:pPr>
              <w:rPr>
                <w:b/>
              </w:rPr>
            </w:pPr>
            <w:r w:rsidRPr="00CE2FA1">
              <w:rPr>
                <w:b/>
              </w:rPr>
              <w:t>Title</w:t>
            </w:r>
          </w:p>
        </w:tc>
        <w:tc>
          <w:tcPr>
            <w:tcW w:w="5578" w:type="dxa"/>
          </w:tcPr>
          <w:p w14:paraId="750879AE" w14:textId="26E870F1" w:rsidR="00CE2FA1" w:rsidRDefault="0043194F" w:rsidP="0025268F">
            <w:pPr>
              <w:spacing w:line="360" w:lineRule="auto"/>
            </w:pPr>
            <w:r>
              <w:t>Anticipatory Traumatic Reaction</w:t>
            </w:r>
            <w:r w:rsidR="0025268F">
              <w:t xml:space="preserve"> and Compassion Fatigue</w:t>
            </w:r>
            <w:r w:rsidR="00B46B6A">
              <w:t xml:space="preserve"> </w:t>
            </w:r>
            <w:r w:rsidR="00A123D1">
              <w:t>(</w:t>
            </w:r>
            <w:r w:rsidR="00B46B6A">
              <w:t xml:space="preserve">Thesis </w:t>
            </w:r>
            <w:r w:rsidR="00A123D1">
              <w:t>Stud</w:t>
            </w:r>
            <w:r w:rsidR="0025268F">
              <w:t>y</w:t>
            </w:r>
            <w:r w:rsidR="00B46B6A">
              <w:t xml:space="preserve"> </w:t>
            </w:r>
            <w:r w:rsidR="0025268F">
              <w:t>4</w:t>
            </w:r>
            <w:r w:rsidR="00A123D1">
              <w:t>)</w:t>
            </w:r>
          </w:p>
        </w:tc>
      </w:tr>
      <w:tr w:rsidR="00CE2FA1" w14:paraId="45F71DF0" w14:textId="77777777" w:rsidTr="00CE2FA1">
        <w:tc>
          <w:tcPr>
            <w:tcW w:w="3348" w:type="dxa"/>
          </w:tcPr>
          <w:p w14:paraId="31059D4A" w14:textId="77777777" w:rsidR="00CE2FA1" w:rsidRPr="00CE2FA1" w:rsidRDefault="00CE2FA1" w:rsidP="00CE2FA1">
            <w:pPr>
              <w:rPr>
                <w:b/>
              </w:rPr>
            </w:pPr>
            <w:r w:rsidRPr="00CE2FA1">
              <w:rPr>
                <w:b/>
              </w:rPr>
              <w:t>Type</w:t>
            </w:r>
          </w:p>
        </w:tc>
        <w:tc>
          <w:tcPr>
            <w:tcW w:w="5578" w:type="dxa"/>
          </w:tcPr>
          <w:p w14:paraId="3F6FFAD9" w14:textId="10FDEC21" w:rsidR="00CE2FA1" w:rsidRDefault="0025268F" w:rsidP="00241881">
            <w:pPr>
              <w:spacing w:line="360" w:lineRule="auto"/>
            </w:pPr>
            <w:r>
              <w:t>One dataset (SPSS data file</w:t>
            </w:r>
            <w:r w:rsidR="00241881">
              <w:t>)</w:t>
            </w:r>
          </w:p>
        </w:tc>
      </w:tr>
      <w:tr w:rsidR="00CE2FA1" w14:paraId="47453C45" w14:textId="77777777" w:rsidTr="00CE2FA1">
        <w:tc>
          <w:tcPr>
            <w:tcW w:w="3348" w:type="dxa"/>
          </w:tcPr>
          <w:p w14:paraId="3444687D" w14:textId="77777777" w:rsidR="00CE2FA1" w:rsidRPr="00CE2FA1" w:rsidRDefault="00CE2FA1" w:rsidP="00CE2FA1">
            <w:pPr>
              <w:rPr>
                <w:b/>
              </w:rPr>
            </w:pPr>
            <w:r w:rsidRPr="00CE2FA1">
              <w:rPr>
                <w:b/>
              </w:rPr>
              <w:t>Date coverage</w:t>
            </w:r>
          </w:p>
        </w:tc>
        <w:tc>
          <w:tcPr>
            <w:tcW w:w="5578" w:type="dxa"/>
          </w:tcPr>
          <w:p w14:paraId="3F695741" w14:textId="2A4318FE" w:rsidR="00CE2FA1" w:rsidRDefault="0025268F" w:rsidP="0025268F">
            <w:pPr>
              <w:spacing w:line="360" w:lineRule="auto"/>
            </w:pPr>
            <w:r>
              <w:t>December</w:t>
            </w:r>
            <w:r w:rsidR="00A123D1">
              <w:t>, 20</w:t>
            </w:r>
            <w:r>
              <w:t>15</w:t>
            </w:r>
            <w:r w:rsidR="00B46B6A">
              <w:t xml:space="preserve"> </w:t>
            </w:r>
            <w:r>
              <w:t>–</w:t>
            </w:r>
            <w:r w:rsidR="00B46B6A">
              <w:t xml:space="preserve"> </w:t>
            </w:r>
            <w:r>
              <w:t>March</w:t>
            </w:r>
            <w:r w:rsidR="00826529">
              <w:t>, 201</w:t>
            </w:r>
            <w:r>
              <w:t>6</w:t>
            </w:r>
          </w:p>
        </w:tc>
      </w:tr>
      <w:tr w:rsidR="00CE2FA1" w14:paraId="7F9AE26D" w14:textId="77777777" w:rsidTr="00CE2FA1">
        <w:tc>
          <w:tcPr>
            <w:tcW w:w="3348" w:type="dxa"/>
          </w:tcPr>
          <w:p w14:paraId="4625ECDF" w14:textId="77777777" w:rsidR="00CE2FA1" w:rsidRPr="00CE2FA1" w:rsidRDefault="00CE2FA1" w:rsidP="00CE2FA1">
            <w:pPr>
              <w:rPr>
                <w:b/>
              </w:rPr>
            </w:pPr>
            <w:r w:rsidRPr="00CE2FA1">
              <w:rPr>
                <w:b/>
              </w:rPr>
              <w:t>Geospatial location</w:t>
            </w:r>
          </w:p>
        </w:tc>
        <w:tc>
          <w:tcPr>
            <w:tcW w:w="5578" w:type="dxa"/>
          </w:tcPr>
          <w:p w14:paraId="37FCFDA1" w14:textId="625A4334" w:rsidR="00CE2FA1" w:rsidRDefault="00321763" w:rsidP="00241881">
            <w:pPr>
              <w:spacing w:line="360" w:lineRule="auto"/>
            </w:pPr>
            <w:r>
              <w:t xml:space="preserve">New England, NSW, </w:t>
            </w:r>
            <w:r w:rsidR="0025268F">
              <w:t>Australia</w:t>
            </w:r>
          </w:p>
        </w:tc>
      </w:tr>
      <w:tr w:rsidR="00CE2FA1" w14:paraId="7C7B499F" w14:textId="77777777" w:rsidTr="00CE2FA1">
        <w:tc>
          <w:tcPr>
            <w:tcW w:w="3348" w:type="dxa"/>
          </w:tcPr>
          <w:p w14:paraId="73ED60BD" w14:textId="77777777" w:rsidR="00CE2FA1" w:rsidRPr="00CE2FA1" w:rsidRDefault="00CE2FA1" w:rsidP="00CE2FA1">
            <w:pPr>
              <w:rPr>
                <w:b/>
              </w:rPr>
            </w:pPr>
            <w:r w:rsidRPr="00CE2FA1">
              <w:rPr>
                <w:b/>
              </w:rPr>
              <w:t>Description of the dataset – abstract, methodology, and sources</w:t>
            </w:r>
          </w:p>
        </w:tc>
        <w:tc>
          <w:tcPr>
            <w:tcW w:w="5578" w:type="dxa"/>
          </w:tcPr>
          <w:p w14:paraId="74A51749" w14:textId="484E9D53" w:rsidR="00CE2FA1" w:rsidRDefault="009F469E" w:rsidP="00463F39">
            <w:pPr>
              <w:pStyle w:val="BodyText"/>
              <w:spacing w:before="80" w:line="360" w:lineRule="auto"/>
              <w:ind w:left="0"/>
            </w:pPr>
            <w:r>
              <w:rPr>
                <w:rFonts w:asciiTheme="minorHAnsi" w:eastAsiaTheme="minorHAnsi" w:hAnsiTheme="minorHAnsi"/>
                <w:sz w:val="22"/>
                <w:szCs w:val="22"/>
                <w:lang w:val="en-AU"/>
              </w:rPr>
              <w:t>This study</w:t>
            </w:r>
            <w:r w:rsidRPr="009F469E">
              <w:rPr>
                <w:rFonts w:asciiTheme="minorHAnsi" w:eastAsiaTheme="minorHAnsi" w:hAnsiTheme="minorHAnsi"/>
                <w:sz w:val="22"/>
                <w:szCs w:val="22"/>
                <w:lang w:val="en-AU"/>
              </w:rPr>
              <w:t xml:space="preserve"> investigate</w:t>
            </w:r>
            <w:r>
              <w:rPr>
                <w:rFonts w:asciiTheme="minorHAnsi" w:eastAsiaTheme="minorHAnsi" w:hAnsiTheme="minorHAnsi"/>
                <w:sz w:val="22"/>
                <w:szCs w:val="22"/>
                <w:lang w:val="en-AU"/>
              </w:rPr>
              <w:t>d</w:t>
            </w:r>
            <w:r w:rsidRPr="009F469E">
              <w:rPr>
                <w:rFonts w:asciiTheme="minorHAnsi" w:eastAsiaTheme="minorHAnsi" w:hAnsiTheme="minorHAnsi"/>
                <w:sz w:val="22"/>
                <w:szCs w:val="22"/>
                <w:lang w:val="en-AU"/>
              </w:rPr>
              <w:t xml:space="preserve"> the relationship and interactions between compassion fatigue and anticipatory traumatic reaction (ATR), both conditions arising from secondary exposure to trauma.  Compassion fatigue, which often occurs for caring professionals, involves symptoms of secondary traumatic stress and job burnout.  ATR is a future-focused form of distress arising from media reports and social discussions of large-scale negative even</w:t>
            </w:r>
            <w:r w:rsidR="000512B0">
              <w:rPr>
                <w:rFonts w:asciiTheme="minorHAnsi" w:eastAsiaTheme="minorHAnsi" w:hAnsiTheme="minorHAnsi"/>
                <w:sz w:val="22"/>
                <w:szCs w:val="22"/>
                <w:lang w:val="en-AU"/>
              </w:rPr>
              <w:t xml:space="preserve">ts and threats.  </w:t>
            </w:r>
            <w:r w:rsidRPr="009F469E">
              <w:rPr>
                <w:rFonts w:asciiTheme="minorHAnsi" w:eastAsiaTheme="minorHAnsi" w:hAnsiTheme="minorHAnsi"/>
                <w:sz w:val="22"/>
                <w:szCs w:val="22"/>
                <w:lang w:val="en-AU"/>
              </w:rPr>
              <w:t xml:space="preserve">A cohort of 48 youth workers </w:t>
            </w:r>
            <w:r w:rsidR="00463F39">
              <w:rPr>
                <w:rFonts w:asciiTheme="minorHAnsi" w:eastAsiaTheme="minorHAnsi" w:hAnsiTheme="minorHAnsi"/>
                <w:sz w:val="22"/>
                <w:szCs w:val="22"/>
                <w:lang w:val="en-AU"/>
              </w:rPr>
              <w:t xml:space="preserve">from a not-for-profit company located in the New England region </w:t>
            </w:r>
            <w:r w:rsidRPr="009F469E">
              <w:rPr>
                <w:rFonts w:asciiTheme="minorHAnsi" w:eastAsiaTheme="minorHAnsi" w:hAnsiTheme="minorHAnsi"/>
                <w:sz w:val="22"/>
                <w:szCs w:val="22"/>
                <w:lang w:val="en-AU"/>
              </w:rPr>
              <w:t xml:space="preserve">completed measures of secondary traumatic stress, burnout, compassion satisfaction, general distress, and anticipatory traumatic reaction.  </w:t>
            </w:r>
            <w:r w:rsidR="00463F39">
              <w:rPr>
                <w:rFonts w:asciiTheme="minorHAnsi" w:eastAsiaTheme="minorHAnsi" w:hAnsiTheme="minorHAnsi"/>
                <w:sz w:val="22"/>
                <w:szCs w:val="22"/>
                <w:lang w:val="en-AU"/>
              </w:rPr>
              <w:t xml:space="preserve">Surveys were completed via the online </w:t>
            </w:r>
            <w:proofErr w:type="spellStart"/>
            <w:r w:rsidR="00463F39">
              <w:rPr>
                <w:rFonts w:asciiTheme="minorHAnsi" w:eastAsiaTheme="minorHAnsi" w:hAnsiTheme="minorHAnsi"/>
                <w:sz w:val="22"/>
                <w:szCs w:val="22"/>
                <w:lang w:val="en-AU"/>
              </w:rPr>
              <w:t>Qualtrics</w:t>
            </w:r>
            <w:proofErr w:type="spellEnd"/>
            <w:r w:rsidR="00463F39">
              <w:rPr>
                <w:rFonts w:asciiTheme="minorHAnsi" w:eastAsiaTheme="minorHAnsi" w:hAnsiTheme="minorHAnsi"/>
                <w:sz w:val="22"/>
                <w:szCs w:val="22"/>
                <w:lang w:val="en-AU"/>
              </w:rPr>
              <w:t xml:space="preserve"> platform.  Results showed that </w:t>
            </w:r>
            <w:r w:rsidR="000512B0">
              <w:rPr>
                <w:rFonts w:asciiTheme="minorHAnsi" w:eastAsiaTheme="minorHAnsi" w:hAnsiTheme="minorHAnsi"/>
                <w:sz w:val="22"/>
                <w:szCs w:val="22"/>
                <w:lang w:val="en-AU"/>
              </w:rPr>
              <w:t>ATR</w:t>
            </w:r>
            <w:r w:rsidRPr="009F469E">
              <w:rPr>
                <w:rFonts w:asciiTheme="minorHAnsi" w:eastAsiaTheme="minorHAnsi" w:hAnsiTheme="minorHAnsi"/>
                <w:sz w:val="22"/>
                <w:szCs w:val="22"/>
                <w:lang w:val="en-AU"/>
              </w:rPr>
              <w:t xml:space="preserve"> magnified the relationship between secondary traumatic stress and general distress. Moderated mediation analyses indicated that anticipatory traumatic reaction interacted with general distress in connecting secondary</w:t>
            </w:r>
            <w:r w:rsidR="000512B0">
              <w:rPr>
                <w:rFonts w:asciiTheme="minorHAnsi" w:eastAsiaTheme="minorHAnsi" w:hAnsiTheme="minorHAnsi"/>
                <w:sz w:val="22"/>
                <w:szCs w:val="22"/>
                <w:lang w:val="en-AU"/>
              </w:rPr>
              <w:t xml:space="preserve"> traumatic stress with burnout.  </w:t>
            </w:r>
            <w:r w:rsidRPr="009F469E">
              <w:rPr>
                <w:rFonts w:asciiTheme="minorHAnsi" w:eastAsiaTheme="minorHAnsi" w:hAnsiTheme="minorHAnsi"/>
                <w:sz w:val="22"/>
                <w:szCs w:val="22"/>
                <w:lang w:val="en-AU"/>
              </w:rPr>
              <w:t xml:space="preserve">High levels of ATR may exacerbate distress, potentially putting care workers at greater risk of burnout. </w:t>
            </w:r>
          </w:p>
        </w:tc>
      </w:tr>
      <w:tr w:rsidR="00CE2FA1" w14:paraId="3F29C24C" w14:textId="77777777" w:rsidTr="00CE2FA1">
        <w:tc>
          <w:tcPr>
            <w:tcW w:w="3348" w:type="dxa"/>
          </w:tcPr>
          <w:p w14:paraId="20C44D94" w14:textId="77777777" w:rsidR="00CE2FA1" w:rsidRPr="00CE2FA1" w:rsidRDefault="00CE2FA1" w:rsidP="00CE2FA1">
            <w:pPr>
              <w:rPr>
                <w:b/>
              </w:rPr>
            </w:pPr>
            <w:r w:rsidRPr="00CE2FA1">
              <w:rPr>
                <w:b/>
              </w:rPr>
              <w:lastRenderedPageBreak/>
              <w:t>Related publication</w:t>
            </w:r>
          </w:p>
        </w:tc>
        <w:tc>
          <w:tcPr>
            <w:tcW w:w="5578" w:type="dxa"/>
          </w:tcPr>
          <w:p w14:paraId="25E0E123" w14:textId="36B6B632" w:rsidR="00CE2FA1" w:rsidRDefault="00AD6F12" w:rsidP="00AD6F12">
            <w:pPr>
              <w:pStyle w:val="Heading1"/>
              <w:tabs>
                <w:tab w:val="left" w:pos="5954"/>
              </w:tabs>
              <w:spacing w:before="69" w:line="360" w:lineRule="auto"/>
              <w:ind w:right="-51"/>
              <w:jc w:val="left"/>
              <w:outlineLvl w:val="0"/>
            </w:pPr>
            <w:r w:rsidRPr="00AD6F12">
              <w:rPr>
                <w:rFonts w:asciiTheme="minorHAnsi" w:eastAsiaTheme="minorHAnsi" w:hAnsiTheme="minorHAnsi" w:cstheme="minorBidi"/>
                <w:b w:val="0"/>
                <w:color w:val="auto"/>
                <w:sz w:val="22"/>
                <w:szCs w:val="22"/>
                <w:lang w:val="en-AU"/>
              </w:rPr>
              <w:t>Nil</w:t>
            </w:r>
            <w:r w:rsidR="00F633BD">
              <w:rPr>
                <w:rFonts w:asciiTheme="minorHAnsi" w:eastAsiaTheme="minorHAnsi" w:hAnsiTheme="minorHAnsi" w:cstheme="minorBidi"/>
                <w:b w:val="0"/>
                <w:color w:val="auto"/>
                <w:sz w:val="22"/>
                <w:szCs w:val="22"/>
                <w:lang w:val="en-AU"/>
              </w:rPr>
              <w:t xml:space="preserve"> (Article under review)</w:t>
            </w:r>
          </w:p>
        </w:tc>
      </w:tr>
      <w:tr w:rsidR="00CE2FA1" w14:paraId="1D42D344" w14:textId="77777777" w:rsidTr="00CE2FA1">
        <w:tc>
          <w:tcPr>
            <w:tcW w:w="3348" w:type="dxa"/>
          </w:tcPr>
          <w:p w14:paraId="400FBB7F" w14:textId="77777777" w:rsidR="00CE2FA1" w:rsidRPr="00CE2FA1" w:rsidRDefault="00CE2FA1" w:rsidP="00CE2FA1">
            <w:pPr>
              <w:rPr>
                <w:b/>
              </w:rPr>
            </w:pPr>
            <w:r w:rsidRPr="00CE2FA1">
              <w:rPr>
                <w:b/>
              </w:rPr>
              <w:t>Related websites</w:t>
            </w:r>
          </w:p>
        </w:tc>
        <w:tc>
          <w:tcPr>
            <w:tcW w:w="5578" w:type="dxa"/>
          </w:tcPr>
          <w:p w14:paraId="3698C177" w14:textId="3FF9A57A" w:rsidR="00CE2FA1" w:rsidRDefault="00727C73" w:rsidP="00CE2FA1">
            <w:r>
              <w:t>Nil</w:t>
            </w:r>
            <w:bookmarkStart w:id="0" w:name="_GoBack"/>
            <w:bookmarkEnd w:id="0"/>
          </w:p>
        </w:tc>
      </w:tr>
      <w:tr w:rsidR="00CE2FA1" w14:paraId="5F5D5B6A" w14:textId="77777777" w:rsidTr="00CE2FA1">
        <w:tc>
          <w:tcPr>
            <w:tcW w:w="3348" w:type="dxa"/>
          </w:tcPr>
          <w:p w14:paraId="27AF93CC" w14:textId="77777777" w:rsidR="00CE2FA1" w:rsidRPr="00CE2FA1" w:rsidRDefault="00CE2FA1" w:rsidP="00CE2FA1">
            <w:pPr>
              <w:rPr>
                <w:b/>
              </w:rPr>
            </w:pPr>
            <w:r w:rsidRPr="00CE2FA1">
              <w:rPr>
                <w:b/>
              </w:rPr>
              <w:t>Creators</w:t>
            </w:r>
          </w:p>
        </w:tc>
        <w:tc>
          <w:tcPr>
            <w:tcW w:w="5578" w:type="dxa"/>
          </w:tcPr>
          <w:p w14:paraId="15C5C683" w14:textId="701BB947" w:rsidR="00CE2FA1" w:rsidRDefault="004D3994" w:rsidP="00CE2FA1">
            <w:r>
              <w:t xml:space="preserve">Tanya Hopwood, Nicola </w:t>
            </w:r>
            <w:proofErr w:type="spellStart"/>
            <w:r>
              <w:t>Schutte</w:t>
            </w:r>
            <w:proofErr w:type="spellEnd"/>
            <w:r>
              <w:t xml:space="preserve">, &amp; Natasha </w:t>
            </w:r>
            <w:proofErr w:type="spellStart"/>
            <w:r>
              <w:t>Loi</w:t>
            </w:r>
            <w:proofErr w:type="spellEnd"/>
          </w:p>
        </w:tc>
      </w:tr>
      <w:tr w:rsidR="008C3C73" w14:paraId="15E41ADD" w14:textId="77777777" w:rsidTr="00CE2FA1">
        <w:tc>
          <w:tcPr>
            <w:tcW w:w="3348" w:type="dxa"/>
          </w:tcPr>
          <w:p w14:paraId="3D648695" w14:textId="6AE73B24" w:rsidR="008C3C73" w:rsidRPr="00CE2FA1" w:rsidRDefault="008C3C73" w:rsidP="00CE2FA1">
            <w:pPr>
              <w:rPr>
                <w:b/>
              </w:rPr>
            </w:pPr>
            <w:r>
              <w:rPr>
                <w:b/>
              </w:rPr>
              <w:t>UNE School Affiliation</w:t>
            </w:r>
          </w:p>
        </w:tc>
        <w:tc>
          <w:tcPr>
            <w:tcW w:w="5578" w:type="dxa"/>
          </w:tcPr>
          <w:p w14:paraId="548BE52F" w14:textId="7929623F" w:rsidR="008C3C73" w:rsidRDefault="004D3994" w:rsidP="00CE2FA1">
            <w:r>
              <w:t>Health (Psychology)</w:t>
            </w:r>
          </w:p>
        </w:tc>
      </w:tr>
      <w:tr w:rsidR="00CE2FA1" w14:paraId="5249A4D5" w14:textId="77777777" w:rsidTr="00CE2FA1">
        <w:tc>
          <w:tcPr>
            <w:tcW w:w="3348" w:type="dxa"/>
          </w:tcPr>
          <w:p w14:paraId="1B88EAD2" w14:textId="77777777" w:rsidR="00CE2FA1" w:rsidRPr="00CE2FA1" w:rsidRDefault="00CE2FA1" w:rsidP="00CE2FA1">
            <w:pPr>
              <w:rPr>
                <w:b/>
              </w:rPr>
            </w:pPr>
            <w:r w:rsidRPr="00CE2FA1">
              <w:rPr>
                <w:b/>
              </w:rPr>
              <w:t>Primary contact</w:t>
            </w:r>
          </w:p>
        </w:tc>
        <w:tc>
          <w:tcPr>
            <w:tcW w:w="5578" w:type="dxa"/>
          </w:tcPr>
          <w:p w14:paraId="6EA530AF" w14:textId="118ADD7D" w:rsidR="00CE2FA1" w:rsidRDefault="004D3994" w:rsidP="00CE2FA1">
            <w:r>
              <w:t>Tanya Hopwood</w:t>
            </w:r>
          </w:p>
        </w:tc>
      </w:tr>
      <w:tr w:rsidR="00E37840" w14:paraId="14C95576" w14:textId="77777777" w:rsidTr="00CE2FA1">
        <w:tc>
          <w:tcPr>
            <w:tcW w:w="3348" w:type="dxa"/>
          </w:tcPr>
          <w:p w14:paraId="1A2E9E6B" w14:textId="0A7CFB40" w:rsidR="00E37840" w:rsidRPr="00CE2FA1" w:rsidRDefault="00E37840" w:rsidP="00CE2FA1">
            <w:pPr>
              <w:rPr>
                <w:b/>
              </w:rPr>
            </w:pPr>
            <w:r>
              <w:rPr>
                <w:b/>
              </w:rPr>
              <w:t>Supervisors</w:t>
            </w:r>
          </w:p>
        </w:tc>
        <w:tc>
          <w:tcPr>
            <w:tcW w:w="5578" w:type="dxa"/>
          </w:tcPr>
          <w:p w14:paraId="0980299E" w14:textId="3090E406" w:rsidR="00E37840" w:rsidRDefault="004D3994" w:rsidP="00CE2FA1">
            <w:r>
              <w:t>A/</w:t>
            </w:r>
            <w:proofErr w:type="spellStart"/>
            <w:r>
              <w:t>Prof.</w:t>
            </w:r>
            <w:proofErr w:type="spellEnd"/>
            <w:r>
              <w:t xml:space="preserve"> Nicola </w:t>
            </w:r>
            <w:proofErr w:type="spellStart"/>
            <w:r>
              <w:t>Schutte</w:t>
            </w:r>
            <w:proofErr w:type="spellEnd"/>
            <w:r>
              <w:t xml:space="preserve">, </w:t>
            </w:r>
            <w:proofErr w:type="spellStart"/>
            <w:r>
              <w:t>Dr.</w:t>
            </w:r>
            <w:proofErr w:type="spellEnd"/>
            <w:r>
              <w:t xml:space="preserve"> Natasha </w:t>
            </w:r>
            <w:proofErr w:type="spellStart"/>
            <w:r>
              <w:t>Loi</w:t>
            </w:r>
            <w:proofErr w:type="spellEnd"/>
            <w:r>
              <w:t xml:space="preserve">, &amp; </w:t>
            </w:r>
            <w:r>
              <w:br/>
            </w:r>
            <w:proofErr w:type="spellStart"/>
            <w:r>
              <w:t>Dr.</w:t>
            </w:r>
            <w:proofErr w:type="spellEnd"/>
            <w:r>
              <w:t xml:space="preserve"> William Coventry</w:t>
            </w:r>
          </w:p>
        </w:tc>
      </w:tr>
      <w:tr w:rsidR="00CE2FA1" w14:paraId="55DFC0FE" w14:textId="77777777" w:rsidTr="00CE2FA1">
        <w:tc>
          <w:tcPr>
            <w:tcW w:w="3348" w:type="dxa"/>
          </w:tcPr>
          <w:p w14:paraId="6E455193" w14:textId="77777777" w:rsidR="00CE2FA1" w:rsidRPr="00CE2FA1" w:rsidRDefault="00CE2FA1" w:rsidP="00CE2FA1">
            <w:pPr>
              <w:rPr>
                <w:b/>
              </w:rPr>
            </w:pPr>
            <w:r w:rsidRPr="00CE2FA1">
              <w:rPr>
                <w:b/>
              </w:rPr>
              <w:t>Field of Research (FOR) codes</w:t>
            </w:r>
          </w:p>
        </w:tc>
        <w:tc>
          <w:tcPr>
            <w:tcW w:w="5578" w:type="dxa"/>
          </w:tcPr>
          <w:p w14:paraId="74575834" w14:textId="4F6F1237" w:rsidR="007A7982" w:rsidRDefault="00DD6AD1" w:rsidP="00CE2FA1">
            <w:r>
              <w:t>170106/170109</w:t>
            </w:r>
          </w:p>
        </w:tc>
      </w:tr>
      <w:tr w:rsidR="00CE2FA1" w14:paraId="52AC6F48" w14:textId="77777777" w:rsidTr="00CE2FA1">
        <w:tc>
          <w:tcPr>
            <w:tcW w:w="3348" w:type="dxa"/>
          </w:tcPr>
          <w:p w14:paraId="03FBC517" w14:textId="77777777" w:rsidR="00CE2FA1" w:rsidRPr="00CE2FA1" w:rsidRDefault="00CE2FA1" w:rsidP="00CE2FA1">
            <w:pPr>
              <w:rPr>
                <w:b/>
              </w:rPr>
            </w:pPr>
            <w:r w:rsidRPr="00CE2FA1">
              <w:rPr>
                <w:b/>
              </w:rPr>
              <w:t>Socio-Economic Objective (SEO) codes</w:t>
            </w:r>
          </w:p>
        </w:tc>
        <w:tc>
          <w:tcPr>
            <w:tcW w:w="5578" w:type="dxa"/>
          </w:tcPr>
          <w:p w14:paraId="6CC4BDA6" w14:textId="5FF284A2" w:rsidR="007A7982" w:rsidRDefault="00DD6AD1" w:rsidP="00CE2FA1">
            <w:r>
              <w:t>Expanding knowledge in the above areas.</w:t>
            </w:r>
          </w:p>
        </w:tc>
      </w:tr>
      <w:tr w:rsidR="00CE2FA1" w14:paraId="19103E10" w14:textId="77777777" w:rsidTr="00CE2FA1">
        <w:tc>
          <w:tcPr>
            <w:tcW w:w="3348" w:type="dxa"/>
          </w:tcPr>
          <w:p w14:paraId="3C35FF3D" w14:textId="77777777" w:rsidR="00CE2FA1" w:rsidRPr="00CE2FA1" w:rsidRDefault="00CE2FA1" w:rsidP="00CE2FA1">
            <w:pPr>
              <w:rPr>
                <w:b/>
              </w:rPr>
            </w:pPr>
            <w:r w:rsidRPr="00CE2FA1">
              <w:rPr>
                <w:b/>
              </w:rPr>
              <w:t>Keywords for research subject matter</w:t>
            </w:r>
          </w:p>
        </w:tc>
        <w:tc>
          <w:tcPr>
            <w:tcW w:w="5578" w:type="dxa"/>
          </w:tcPr>
          <w:p w14:paraId="7E8D9814" w14:textId="73A98AAB" w:rsidR="00CE2FA1" w:rsidRPr="00860D16" w:rsidRDefault="00860D16" w:rsidP="00CE2FA1">
            <w:r>
              <w:t>A</w:t>
            </w:r>
            <w:r w:rsidRPr="00860D16">
              <w:t>nticipatory traumatic reaction; secondary trauma; burnout; compassion fatigue; secondary traumatic stress</w:t>
            </w:r>
          </w:p>
        </w:tc>
      </w:tr>
      <w:tr w:rsidR="008C3C73" w14:paraId="58149BE5" w14:textId="77777777" w:rsidTr="00CE2FA1">
        <w:tc>
          <w:tcPr>
            <w:tcW w:w="3348" w:type="dxa"/>
          </w:tcPr>
          <w:p w14:paraId="094BC05B" w14:textId="29AD7E27" w:rsidR="008C3C73" w:rsidRPr="00CE2FA1" w:rsidRDefault="008C3C73" w:rsidP="00CE2FA1">
            <w:pPr>
              <w:rPr>
                <w:b/>
              </w:rPr>
            </w:pPr>
            <w:r>
              <w:rPr>
                <w:b/>
              </w:rPr>
              <w:t>Sensitive/Confidential Content?</w:t>
            </w:r>
          </w:p>
        </w:tc>
        <w:tc>
          <w:tcPr>
            <w:tcW w:w="5578" w:type="dxa"/>
          </w:tcPr>
          <w:p w14:paraId="3A1F267F" w14:textId="6D931A6D" w:rsidR="00E3649B" w:rsidRDefault="00F774A3" w:rsidP="00E3649B">
            <w:r>
              <w:t>Nil</w:t>
            </w:r>
          </w:p>
        </w:tc>
      </w:tr>
      <w:tr w:rsidR="00CE2FA1" w14:paraId="673E0CAD" w14:textId="77777777" w:rsidTr="00CE2FA1">
        <w:tc>
          <w:tcPr>
            <w:tcW w:w="3348" w:type="dxa"/>
          </w:tcPr>
          <w:p w14:paraId="1F29BCF6" w14:textId="6887BB85" w:rsidR="00CE2FA1" w:rsidRPr="00CE2FA1" w:rsidRDefault="00CE2FA1" w:rsidP="00CE2FA1">
            <w:pPr>
              <w:rPr>
                <w:b/>
              </w:rPr>
            </w:pPr>
            <w:r w:rsidRPr="00CE2FA1">
              <w:rPr>
                <w:b/>
              </w:rPr>
              <w:t>Access rights</w:t>
            </w:r>
          </w:p>
        </w:tc>
        <w:tc>
          <w:tcPr>
            <w:tcW w:w="5578" w:type="dxa"/>
          </w:tcPr>
          <w:p w14:paraId="1F42F858" w14:textId="6D7D9C03" w:rsidR="00CE2FA1" w:rsidRDefault="00E93E21" w:rsidP="00CE2FA1">
            <w:r>
              <w:t>Open access</w:t>
            </w:r>
            <w:r w:rsidR="00A85A60">
              <w:t xml:space="preserve"> </w:t>
            </w:r>
          </w:p>
        </w:tc>
      </w:tr>
      <w:tr w:rsidR="00CE2FA1" w14:paraId="545A4376" w14:textId="77777777" w:rsidTr="00CE2FA1">
        <w:tc>
          <w:tcPr>
            <w:tcW w:w="3348" w:type="dxa"/>
          </w:tcPr>
          <w:p w14:paraId="52793857" w14:textId="77777777" w:rsidR="00CE2FA1" w:rsidRPr="00CE2FA1" w:rsidRDefault="00CE2FA1" w:rsidP="00CE2FA1">
            <w:pPr>
              <w:rPr>
                <w:b/>
              </w:rPr>
            </w:pPr>
            <w:r w:rsidRPr="00CE2FA1">
              <w:rPr>
                <w:b/>
              </w:rPr>
              <w:t>Usage License</w:t>
            </w:r>
          </w:p>
        </w:tc>
        <w:tc>
          <w:tcPr>
            <w:tcW w:w="5578" w:type="dxa"/>
          </w:tcPr>
          <w:p w14:paraId="0F73463D" w14:textId="0279F8CB" w:rsidR="00CE2FA1" w:rsidRDefault="00E93E21" w:rsidP="00CE2FA1">
            <w:r>
              <w:t>Research purposes</w:t>
            </w:r>
          </w:p>
        </w:tc>
      </w:tr>
      <w:tr w:rsidR="00CE2FA1" w14:paraId="2C0BD9E8" w14:textId="77777777" w:rsidTr="00CE2FA1">
        <w:tc>
          <w:tcPr>
            <w:tcW w:w="3348" w:type="dxa"/>
          </w:tcPr>
          <w:p w14:paraId="25DAF3A4" w14:textId="77777777" w:rsidR="00CE2FA1" w:rsidRPr="00CE2FA1" w:rsidRDefault="00CE2FA1" w:rsidP="00CE2FA1">
            <w:pPr>
              <w:rPr>
                <w:b/>
              </w:rPr>
            </w:pPr>
            <w:r w:rsidRPr="00CE2FA1">
              <w:rPr>
                <w:b/>
              </w:rPr>
              <w:t>Identifier for the dataset (DOI or other)</w:t>
            </w:r>
          </w:p>
        </w:tc>
        <w:tc>
          <w:tcPr>
            <w:tcW w:w="5578" w:type="dxa"/>
          </w:tcPr>
          <w:p w14:paraId="5BC19206" w14:textId="1C4A466F" w:rsidR="00CE2FA1" w:rsidRDefault="00CE2FA1" w:rsidP="00CE2FA1"/>
        </w:tc>
      </w:tr>
      <w:tr w:rsidR="00CE2FA1" w14:paraId="618D80AF" w14:textId="77777777" w:rsidTr="00CE2FA1">
        <w:tc>
          <w:tcPr>
            <w:tcW w:w="3348" w:type="dxa"/>
          </w:tcPr>
          <w:p w14:paraId="5DB35812" w14:textId="77777777" w:rsidR="00CE2FA1" w:rsidRPr="00CE2FA1" w:rsidRDefault="00CE2FA1" w:rsidP="00CE2FA1">
            <w:pPr>
              <w:rPr>
                <w:b/>
              </w:rPr>
            </w:pPr>
            <w:r w:rsidRPr="00CE2FA1">
              <w:rPr>
                <w:b/>
              </w:rPr>
              <w:t>URL for the data storage</w:t>
            </w:r>
          </w:p>
        </w:tc>
        <w:tc>
          <w:tcPr>
            <w:tcW w:w="5578" w:type="dxa"/>
          </w:tcPr>
          <w:p w14:paraId="44468C9F" w14:textId="687CDD20" w:rsidR="00CE2FA1" w:rsidRDefault="00CE2FA1" w:rsidP="00CE2FA1"/>
        </w:tc>
      </w:tr>
      <w:tr w:rsidR="00CE2FA1" w14:paraId="6AE5F37A" w14:textId="77777777" w:rsidTr="00CE2FA1">
        <w:tc>
          <w:tcPr>
            <w:tcW w:w="3348" w:type="dxa"/>
          </w:tcPr>
          <w:p w14:paraId="0C8E9A03" w14:textId="77777777" w:rsidR="00CE2FA1" w:rsidRPr="00CE2FA1" w:rsidRDefault="00CE2FA1" w:rsidP="00CE2FA1">
            <w:pPr>
              <w:rPr>
                <w:b/>
              </w:rPr>
            </w:pPr>
            <w:r w:rsidRPr="00CE2FA1">
              <w:rPr>
                <w:b/>
              </w:rPr>
              <w:t>Retention period</w:t>
            </w:r>
          </w:p>
        </w:tc>
        <w:tc>
          <w:tcPr>
            <w:tcW w:w="5578" w:type="dxa"/>
          </w:tcPr>
          <w:p w14:paraId="55B70FCC" w14:textId="6D771904" w:rsidR="00E97441" w:rsidRDefault="005D4200" w:rsidP="00CE2FA1">
            <w:r>
              <w:t>5 years</w:t>
            </w:r>
          </w:p>
        </w:tc>
      </w:tr>
      <w:tr w:rsidR="00E97441" w14:paraId="350FE9CF" w14:textId="77777777" w:rsidTr="00CE2FA1">
        <w:tc>
          <w:tcPr>
            <w:tcW w:w="3348" w:type="dxa"/>
          </w:tcPr>
          <w:p w14:paraId="26488BCB" w14:textId="3E8973DB" w:rsidR="00E97441" w:rsidRPr="00CE2FA1" w:rsidRDefault="00E97441" w:rsidP="00CE2FA1">
            <w:pPr>
              <w:rPr>
                <w:b/>
              </w:rPr>
            </w:pPr>
            <w:r>
              <w:rPr>
                <w:b/>
              </w:rPr>
              <w:t>Requested deletion date?</w:t>
            </w:r>
          </w:p>
        </w:tc>
        <w:tc>
          <w:tcPr>
            <w:tcW w:w="5578" w:type="dxa"/>
          </w:tcPr>
          <w:p w14:paraId="4827AC75" w14:textId="7AD2940E" w:rsidR="00E97441" w:rsidRDefault="005D4200" w:rsidP="00CE2FA1">
            <w:r>
              <w:t>As deemed necessary by UNE</w:t>
            </w:r>
          </w:p>
        </w:tc>
      </w:tr>
      <w:tr w:rsidR="00CE2FA1" w14:paraId="30CF45E8" w14:textId="77777777" w:rsidTr="00CE2FA1">
        <w:tc>
          <w:tcPr>
            <w:tcW w:w="3348" w:type="dxa"/>
          </w:tcPr>
          <w:p w14:paraId="12BA7E84" w14:textId="77777777" w:rsidR="00CE2FA1" w:rsidRPr="00CE2FA1" w:rsidRDefault="00CE2FA1" w:rsidP="00CE2FA1">
            <w:pPr>
              <w:rPr>
                <w:b/>
              </w:rPr>
            </w:pPr>
            <w:r w:rsidRPr="00CE2FA1">
              <w:rPr>
                <w:b/>
              </w:rPr>
              <w:t>Quantity of files</w:t>
            </w:r>
          </w:p>
        </w:tc>
        <w:tc>
          <w:tcPr>
            <w:tcW w:w="5578" w:type="dxa"/>
          </w:tcPr>
          <w:p w14:paraId="179456B6" w14:textId="0E8F9E40" w:rsidR="00CE2FA1" w:rsidRDefault="00F633BD" w:rsidP="00CE2FA1">
            <w:r>
              <w:t>1 SPSS data file</w:t>
            </w:r>
            <w:r w:rsidR="00C94F12">
              <w:t xml:space="preserve"> (.sa</w:t>
            </w:r>
            <w:r w:rsidR="005D4200">
              <w:t>v)</w:t>
            </w:r>
          </w:p>
        </w:tc>
      </w:tr>
      <w:tr w:rsidR="00CE2FA1" w14:paraId="15DFE84D" w14:textId="77777777" w:rsidTr="00CE2FA1">
        <w:tc>
          <w:tcPr>
            <w:tcW w:w="3348" w:type="dxa"/>
          </w:tcPr>
          <w:p w14:paraId="1AB99B31" w14:textId="77777777" w:rsidR="00CE2FA1" w:rsidRPr="00CE2FA1" w:rsidRDefault="00CE2FA1" w:rsidP="00CE2FA1">
            <w:pPr>
              <w:rPr>
                <w:b/>
              </w:rPr>
            </w:pPr>
            <w:r w:rsidRPr="00CE2FA1">
              <w:rPr>
                <w:b/>
              </w:rPr>
              <w:t>Data custodian contact for access</w:t>
            </w:r>
          </w:p>
        </w:tc>
        <w:tc>
          <w:tcPr>
            <w:tcW w:w="5578" w:type="dxa"/>
          </w:tcPr>
          <w:p w14:paraId="5D836C55" w14:textId="367B08CC" w:rsidR="00CE2FA1" w:rsidRDefault="005D4200" w:rsidP="00CE2FA1">
            <w:r>
              <w:t>Tanya Hopwood</w:t>
            </w:r>
          </w:p>
        </w:tc>
      </w:tr>
      <w:tr w:rsidR="00CE2FA1" w14:paraId="23AE5398" w14:textId="77777777" w:rsidTr="00CE2FA1">
        <w:tc>
          <w:tcPr>
            <w:tcW w:w="3348" w:type="dxa"/>
          </w:tcPr>
          <w:p w14:paraId="49DF8945" w14:textId="77777777" w:rsidR="00CE2FA1" w:rsidRPr="00CE2FA1" w:rsidRDefault="00CE2FA1" w:rsidP="00CE2FA1">
            <w:pPr>
              <w:rPr>
                <w:b/>
              </w:rPr>
            </w:pPr>
            <w:r w:rsidRPr="00CE2FA1">
              <w:rPr>
                <w:b/>
              </w:rPr>
              <w:t>Grant numbers associated</w:t>
            </w:r>
          </w:p>
        </w:tc>
        <w:tc>
          <w:tcPr>
            <w:tcW w:w="5578" w:type="dxa"/>
          </w:tcPr>
          <w:p w14:paraId="1FA1F7DB" w14:textId="7C9A22A1" w:rsidR="00CE2FA1" w:rsidRDefault="005D4200" w:rsidP="00CE2FA1">
            <w:r>
              <w:t>Nil</w:t>
            </w:r>
          </w:p>
        </w:tc>
      </w:tr>
      <w:tr w:rsidR="00CE2FA1" w14:paraId="3AD448D9" w14:textId="77777777" w:rsidTr="00CE2FA1">
        <w:tc>
          <w:tcPr>
            <w:tcW w:w="3348" w:type="dxa"/>
          </w:tcPr>
          <w:p w14:paraId="71C9A92F" w14:textId="5DCA11D9" w:rsidR="00CE2FA1" w:rsidRPr="00CE2FA1" w:rsidRDefault="00CE2FA1" w:rsidP="00CE2FA1">
            <w:pPr>
              <w:rPr>
                <w:b/>
              </w:rPr>
            </w:pPr>
            <w:r w:rsidRPr="00CE2FA1">
              <w:rPr>
                <w:b/>
              </w:rPr>
              <w:t>Embargo dat</w:t>
            </w:r>
            <w:r w:rsidR="00CF5EBB">
              <w:rPr>
                <w:b/>
              </w:rPr>
              <w:t>e</w:t>
            </w:r>
          </w:p>
        </w:tc>
        <w:tc>
          <w:tcPr>
            <w:tcW w:w="5578" w:type="dxa"/>
          </w:tcPr>
          <w:p w14:paraId="606C6E67" w14:textId="78BE84DF" w:rsidR="00CE2FA1" w:rsidRDefault="005D4200" w:rsidP="00CE2FA1">
            <w:r>
              <w:t>5</w:t>
            </w:r>
            <w:r w:rsidRPr="005D4200">
              <w:rPr>
                <w:vertAlign w:val="superscript"/>
              </w:rPr>
              <w:t>th</w:t>
            </w:r>
            <w:r>
              <w:t xml:space="preserve"> March, 2020</w:t>
            </w:r>
          </w:p>
        </w:tc>
      </w:tr>
    </w:tbl>
    <w:p w14:paraId="55B1A1AA" w14:textId="77777777" w:rsidR="00CE2FA1" w:rsidRDefault="00CE2FA1" w:rsidP="00B6642C">
      <w:pPr>
        <w:rPr>
          <w:b/>
          <w:sz w:val="32"/>
          <w:szCs w:val="32"/>
        </w:rPr>
      </w:pPr>
    </w:p>
    <w:p w14:paraId="48E8679D" w14:textId="77777777" w:rsidR="00136200" w:rsidRDefault="00136200" w:rsidP="00CE2FA1">
      <w:pPr>
        <w:rPr>
          <w:b/>
          <w:sz w:val="28"/>
          <w:szCs w:val="28"/>
        </w:rPr>
      </w:pPr>
    </w:p>
    <w:p w14:paraId="16DBCF40" w14:textId="77777777" w:rsidR="00136200" w:rsidRDefault="00136200" w:rsidP="00CE2FA1">
      <w:pPr>
        <w:rPr>
          <w:b/>
          <w:sz w:val="28"/>
          <w:szCs w:val="28"/>
        </w:rPr>
      </w:pPr>
    </w:p>
    <w:p w14:paraId="09AA7C3B" w14:textId="7737CB46" w:rsidR="00136200" w:rsidRDefault="00C94F12" w:rsidP="00CE2FA1">
      <w:pPr>
        <w:rPr>
          <w:b/>
          <w:sz w:val="28"/>
          <w:szCs w:val="28"/>
        </w:rPr>
      </w:pPr>
      <w:r>
        <w:rPr>
          <w:b/>
          <w:sz w:val="28"/>
          <w:szCs w:val="28"/>
        </w:rPr>
        <w:t>Data f</w:t>
      </w:r>
      <w:r w:rsidR="00AA4FFF">
        <w:rPr>
          <w:b/>
          <w:sz w:val="28"/>
          <w:szCs w:val="28"/>
        </w:rPr>
        <w:t>ile</w:t>
      </w:r>
      <w:r w:rsidR="00136200">
        <w:rPr>
          <w:b/>
          <w:sz w:val="28"/>
          <w:szCs w:val="28"/>
        </w:rPr>
        <w:t xml:space="preserve"> </w:t>
      </w:r>
      <w:r>
        <w:rPr>
          <w:b/>
          <w:sz w:val="28"/>
          <w:szCs w:val="28"/>
        </w:rPr>
        <w:t>related</w:t>
      </w:r>
      <w:r w:rsidR="00136200">
        <w:rPr>
          <w:b/>
          <w:sz w:val="28"/>
          <w:szCs w:val="28"/>
        </w:rPr>
        <w:t xml:space="preserve"> to this form: </w:t>
      </w:r>
    </w:p>
    <w:p w14:paraId="1F5B3107" w14:textId="37F00C8B" w:rsidR="00CE2FA1" w:rsidRPr="00C94F12" w:rsidRDefault="00C94F12" w:rsidP="00CE2FA1">
      <w:pPr>
        <w:rPr>
          <w:sz w:val="28"/>
          <w:szCs w:val="28"/>
        </w:rPr>
      </w:pPr>
      <w:r w:rsidRPr="00C94F12">
        <w:rPr>
          <w:sz w:val="28"/>
          <w:szCs w:val="28"/>
        </w:rPr>
        <w:t>Hopwood_Data_ThesisStudy</w:t>
      </w:r>
      <w:r w:rsidR="00AA4FFF">
        <w:rPr>
          <w:sz w:val="28"/>
          <w:szCs w:val="28"/>
        </w:rPr>
        <w:t>4</w:t>
      </w:r>
      <w:r w:rsidRPr="00C94F12">
        <w:rPr>
          <w:sz w:val="28"/>
          <w:szCs w:val="28"/>
        </w:rPr>
        <w:t>.sav</w:t>
      </w:r>
    </w:p>
    <w:p w14:paraId="503E474B" w14:textId="0F1E1354" w:rsidR="00C94F12" w:rsidRPr="005575B0" w:rsidRDefault="00C94F12" w:rsidP="00CE2FA1">
      <w:pPr>
        <w:rPr>
          <w:b/>
          <w:sz w:val="28"/>
          <w:szCs w:val="28"/>
        </w:rPr>
      </w:pPr>
    </w:p>
    <w:sectPr w:rsidR="00C94F12" w:rsidRPr="005575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A745B"/>
    <w:multiLevelType w:val="multilevel"/>
    <w:tmpl w:val="53FC6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7C5ED5"/>
    <w:multiLevelType w:val="hybridMultilevel"/>
    <w:tmpl w:val="6310EF24"/>
    <w:lvl w:ilvl="0" w:tplc="070815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1">
      <w:lvl w:ilvl="1">
        <w:numFmt w:val="bullet"/>
        <w:lvlText w:val=""/>
        <w:lvlJc w:val="left"/>
        <w:pPr>
          <w:tabs>
            <w:tab w:val="num" w:pos="1440"/>
          </w:tabs>
          <w:ind w:left="1440" w:hanging="360"/>
        </w:pPr>
        <w:rPr>
          <w:rFonts w:ascii="Symbol" w:hAnsi="Symbol" w:hint="default"/>
          <w:sz w:val="2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A6C"/>
    <w:rsid w:val="000512B0"/>
    <w:rsid w:val="00136200"/>
    <w:rsid w:val="001B0BD6"/>
    <w:rsid w:val="001D0888"/>
    <w:rsid w:val="00241881"/>
    <w:rsid w:val="00252604"/>
    <w:rsid w:val="0025268F"/>
    <w:rsid w:val="002E31F9"/>
    <w:rsid w:val="00321763"/>
    <w:rsid w:val="00357A6C"/>
    <w:rsid w:val="0043194F"/>
    <w:rsid w:val="00463F39"/>
    <w:rsid w:val="00495078"/>
    <w:rsid w:val="004B16BD"/>
    <w:rsid w:val="004D3994"/>
    <w:rsid w:val="00500996"/>
    <w:rsid w:val="005575B0"/>
    <w:rsid w:val="005754DB"/>
    <w:rsid w:val="005D4200"/>
    <w:rsid w:val="00622664"/>
    <w:rsid w:val="00647D7D"/>
    <w:rsid w:val="00727C73"/>
    <w:rsid w:val="007A7982"/>
    <w:rsid w:val="00826529"/>
    <w:rsid w:val="0083419C"/>
    <w:rsid w:val="00860D16"/>
    <w:rsid w:val="008C3C73"/>
    <w:rsid w:val="00925043"/>
    <w:rsid w:val="00943EDB"/>
    <w:rsid w:val="009707E7"/>
    <w:rsid w:val="009D0886"/>
    <w:rsid w:val="009F469E"/>
    <w:rsid w:val="00A123D1"/>
    <w:rsid w:val="00A85A60"/>
    <w:rsid w:val="00AA4FFF"/>
    <w:rsid w:val="00AD6F12"/>
    <w:rsid w:val="00B37238"/>
    <w:rsid w:val="00B46B6A"/>
    <w:rsid w:val="00B6642C"/>
    <w:rsid w:val="00BC55F2"/>
    <w:rsid w:val="00C71F8E"/>
    <w:rsid w:val="00C94F12"/>
    <w:rsid w:val="00CE2FA1"/>
    <w:rsid w:val="00CF5EBB"/>
    <w:rsid w:val="00DD6AD1"/>
    <w:rsid w:val="00E037CC"/>
    <w:rsid w:val="00E3649B"/>
    <w:rsid w:val="00E37840"/>
    <w:rsid w:val="00E57EAA"/>
    <w:rsid w:val="00E93E21"/>
    <w:rsid w:val="00E97441"/>
    <w:rsid w:val="00EF3E35"/>
    <w:rsid w:val="00F214EF"/>
    <w:rsid w:val="00F359A7"/>
    <w:rsid w:val="00F378F9"/>
    <w:rsid w:val="00F633BD"/>
    <w:rsid w:val="00F774A3"/>
    <w:rsid w:val="00FA449F"/>
    <w:rsid w:val="00FF117D"/>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ED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7C73"/>
    <w:pPr>
      <w:spacing w:after="0" w:line="480" w:lineRule="auto"/>
      <w:jc w:val="center"/>
      <w:outlineLvl w:val="0"/>
    </w:pPr>
    <w:rPr>
      <w:rFonts w:ascii="Times New Roman" w:eastAsia="Times New Roman" w:hAnsi="Times New Roman" w:cs="Times New Roman"/>
      <w:b/>
      <w:color w:val="000000" w:themeColor="text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7A6C"/>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E57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EAA"/>
    <w:rPr>
      <w:rFonts w:ascii="Segoe UI" w:hAnsi="Segoe UI" w:cs="Segoe UI"/>
      <w:sz w:val="18"/>
      <w:szCs w:val="18"/>
    </w:rPr>
  </w:style>
  <w:style w:type="table" w:styleId="TableGrid">
    <w:name w:val="Table Grid"/>
    <w:basedOn w:val="TableNormal"/>
    <w:uiPriority w:val="39"/>
    <w:rsid w:val="00B664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2FA1"/>
    <w:pPr>
      <w:ind w:left="720"/>
      <w:contextualSpacing/>
    </w:pPr>
  </w:style>
  <w:style w:type="character" w:styleId="Hyperlink">
    <w:name w:val="Hyperlink"/>
    <w:basedOn w:val="DefaultParagraphFont"/>
    <w:uiPriority w:val="99"/>
    <w:unhideWhenUsed/>
    <w:rsid w:val="005575B0"/>
    <w:rPr>
      <w:color w:val="0563C1" w:themeColor="hyperlink"/>
      <w:u w:val="single"/>
    </w:rPr>
  </w:style>
  <w:style w:type="paragraph" w:styleId="BodyText">
    <w:name w:val="Body Text"/>
    <w:basedOn w:val="Normal"/>
    <w:link w:val="BodyTextChar"/>
    <w:uiPriority w:val="1"/>
    <w:qFormat/>
    <w:rsid w:val="00B37238"/>
    <w:pPr>
      <w:widowControl w:val="0"/>
      <w:spacing w:after="0" w:line="240" w:lineRule="auto"/>
      <w:ind w:left="360"/>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1"/>
    <w:rsid w:val="00B37238"/>
    <w:rPr>
      <w:rFonts w:ascii="Times New Roman" w:eastAsia="Times New Roman" w:hAnsi="Times New Roman"/>
      <w:sz w:val="24"/>
      <w:szCs w:val="24"/>
      <w:lang w:val="en-US"/>
    </w:rPr>
  </w:style>
  <w:style w:type="character" w:styleId="FollowedHyperlink">
    <w:name w:val="FollowedHyperlink"/>
    <w:basedOn w:val="DefaultParagraphFont"/>
    <w:uiPriority w:val="99"/>
    <w:semiHidden/>
    <w:unhideWhenUsed/>
    <w:rsid w:val="001D0888"/>
    <w:rPr>
      <w:color w:val="954F72" w:themeColor="followedHyperlink"/>
      <w:u w:val="single"/>
    </w:rPr>
  </w:style>
  <w:style w:type="character" w:customStyle="1" w:styleId="Heading1Char">
    <w:name w:val="Heading 1 Char"/>
    <w:basedOn w:val="DefaultParagraphFont"/>
    <w:link w:val="Heading1"/>
    <w:uiPriority w:val="9"/>
    <w:rsid w:val="00727C73"/>
    <w:rPr>
      <w:rFonts w:ascii="Times New Roman" w:eastAsia="Times New Roman" w:hAnsi="Times New Roman" w:cs="Times New Roman"/>
      <w:b/>
      <w:color w:val="000000" w:themeColor="text1"/>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7C73"/>
    <w:pPr>
      <w:spacing w:after="0" w:line="480" w:lineRule="auto"/>
      <w:jc w:val="center"/>
      <w:outlineLvl w:val="0"/>
    </w:pPr>
    <w:rPr>
      <w:rFonts w:ascii="Times New Roman" w:eastAsia="Times New Roman" w:hAnsi="Times New Roman" w:cs="Times New Roman"/>
      <w:b/>
      <w:color w:val="000000" w:themeColor="text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7A6C"/>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E57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EAA"/>
    <w:rPr>
      <w:rFonts w:ascii="Segoe UI" w:hAnsi="Segoe UI" w:cs="Segoe UI"/>
      <w:sz w:val="18"/>
      <w:szCs w:val="18"/>
    </w:rPr>
  </w:style>
  <w:style w:type="table" w:styleId="TableGrid">
    <w:name w:val="Table Grid"/>
    <w:basedOn w:val="TableNormal"/>
    <w:uiPriority w:val="39"/>
    <w:rsid w:val="00B664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2FA1"/>
    <w:pPr>
      <w:ind w:left="720"/>
      <w:contextualSpacing/>
    </w:pPr>
  </w:style>
  <w:style w:type="character" w:styleId="Hyperlink">
    <w:name w:val="Hyperlink"/>
    <w:basedOn w:val="DefaultParagraphFont"/>
    <w:uiPriority w:val="99"/>
    <w:unhideWhenUsed/>
    <w:rsid w:val="005575B0"/>
    <w:rPr>
      <w:color w:val="0563C1" w:themeColor="hyperlink"/>
      <w:u w:val="single"/>
    </w:rPr>
  </w:style>
  <w:style w:type="paragraph" w:styleId="BodyText">
    <w:name w:val="Body Text"/>
    <w:basedOn w:val="Normal"/>
    <w:link w:val="BodyTextChar"/>
    <w:uiPriority w:val="1"/>
    <w:qFormat/>
    <w:rsid w:val="00B37238"/>
    <w:pPr>
      <w:widowControl w:val="0"/>
      <w:spacing w:after="0" w:line="240" w:lineRule="auto"/>
      <w:ind w:left="360"/>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1"/>
    <w:rsid w:val="00B37238"/>
    <w:rPr>
      <w:rFonts w:ascii="Times New Roman" w:eastAsia="Times New Roman" w:hAnsi="Times New Roman"/>
      <w:sz w:val="24"/>
      <w:szCs w:val="24"/>
      <w:lang w:val="en-US"/>
    </w:rPr>
  </w:style>
  <w:style w:type="character" w:styleId="FollowedHyperlink">
    <w:name w:val="FollowedHyperlink"/>
    <w:basedOn w:val="DefaultParagraphFont"/>
    <w:uiPriority w:val="99"/>
    <w:semiHidden/>
    <w:unhideWhenUsed/>
    <w:rsid w:val="001D0888"/>
    <w:rPr>
      <w:color w:val="954F72" w:themeColor="followedHyperlink"/>
      <w:u w:val="single"/>
    </w:rPr>
  </w:style>
  <w:style w:type="character" w:customStyle="1" w:styleId="Heading1Char">
    <w:name w:val="Heading 1 Char"/>
    <w:basedOn w:val="DefaultParagraphFont"/>
    <w:link w:val="Heading1"/>
    <w:uiPriority w:val="9"/>
    <w:rsid w:val="00727C73"/>
    <w:rPr>
      <w:rFonts w:ascii="Times New Roman" w:eastAsia="Times New Roman" w:hAnsi="Times New Roman" w:cs="Times New Roman"/>
      <w:b/>
      <w:color w:val="000000" w:themeColor="text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85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371</Words>
  <Characters>2117</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Minimum Metadata Fields for Research Data</vt:lpstr>
    </vt:vector>
  </TitlesOfParts>
  <Manager/>
  <Company/>
  <LinksUpToDate>false</LinksUpToDate>
  <CharactersWithSpaces>2484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Minimum Metadata Fields for Research Data</dc:title>
  <dc:subject/>
  <dc:creator>UNE Library</dc:creator>
  <cp:keywords/>
  <dc:description/>
  <cp:lastModifiedBy>Tanya Hopwood</cp:lastModifiedBy>
  <cp:revision>14</cp:revision>
  <cp:lastPrinted>2017-05-29T23:18:00Z</cp:lastPrinted>
  <dcterms:created xsi:type="dcterms:W3CDTF">2018-02-21T11:22:00Z</dcterms:created>
  <dcterms:modified xsi:type="dcterms:W3CDTF">2018-02-21T11:57:00Z</dcterms:modified>
  <cp:category/>
</cp:coreProperties>
</file>