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7E2" w:rsidRPr="009127E2" w:rsidRDefault="00D618EE" w:rsidP="009127E2">
      <w:pPr>
        <w:jc w:val="center"/>
        <w:rPr>
          <w:rFonts w:asciiTheme="majorBidi" w:hAnsiTheme="majorBidi" w:cstheme="majorBidi"/>
          <w:b/>
          <w:bCs/>
          <w:sz w:val="32"/>
          <w:szCs w:val="32"/>
          <w:u w:val="single"/>
        </w:rPr>
      </w:pPr>
      <w:r w:rsidRPr="009127E2">
        <w:rPr>
          <w:rFonts w:asciiTheme="majorBidi" w:hAnsiTheme="majorBidi" w:cstheme="majorBidi"/>
          <w:b/>
          <w:bCs/>
          <w:sz w:val="32"/>
          <w:szCs w:val="32"/>
          <w:u w:val="single"/>
        </w:rPr>
        <w:t>Experiment 3</w:t>
      </w:r>
      <w:r w:rsidR="009127E2" w:rsidRPr="009127E2">
        <w:rPr>
          <w:rFonts w:asciiTheme="majorBidi" w:hAnsiTheme="majorBidi" w:cstheme="majorBidi"/>
          <w:b/>
          <w:bCs/>
          <w:sz w:val="32"/>
          <w:szCs w:val="32"/>
          <w:u w:val="single"/>
        </w:rPr>
        <w:t xml:space="preserve"> Title</w:t>
      </w:r>
      <w:r w:rsidRPr="009127E2">
        <w:rPr>
          <w:rFonts w:asciiTheme="majorBidi" w:hAnsiTheme="majorBidi" w:cstheme="majorBidi"/>
          <w:b/>
          <w:bCs/>
          <w:sz w:val="32"/>
          <w:szCs w:val="32"/>
          <w:u w:val="single"/>
        </w:rPr>
        <w:t>:</w:t>
      </w:r>
    </w:p>
    <w:p w:rsidR="00D618EE" w:rsidRPr="009127E2" w:rsidRDefault="009127E2" w:rsidP="009127E2">
      <w:pPr>
        <w:spacing w:before="240"/>
        <w:jc w:val="center"/>
        <w:rPr>
          <w:rFonts w:asciiTheme="majorBidi" w:eastAsia="Calibri" w:hAnsiTheme="majorBidi" w:cstheme="majorBidi"/>
          <w:b/>
          <w:bCs/>
          <w:sz w:val="28"/>
          <w:szCs w:val="28"/>
        </w:rPr>
      </w:pPr>
      <w:r w:rsidRPr="009127E2">
        <w:rPr>
          <w:rFonts w:asciiTheme="majorBidi" w:hAnsiTheme="majorBidi" w:cstheme="majorBidi"/>
          <w:b/>
          <w:bCs/>
          <w:sz w:val="28"/>
          <w:szCs w:val="28"/>
        </w:rPr>
        <w:t>Distribution of chicken anaemia virus in various tissues up to day 56 following artificial infection in specific pathogen-free chickens</w:t>
      </w:r>
    </w:p>
    <w:p w:rsidR="009127E2" w:rsidRPr="009127E2" w:rsidRDefault="00D618EE" w:rsidP="009127E2">
      <w:pPr>
        <w:spacing w:before="240"/>
        <w:rPr>
          <w:rFonts w:asciiTheme="majorBidi" w:eastAsia="Calibri" w:hAnsiTheme="majorBidi" w:cstheme="majorBidi"/>
          <w:sz w:val="28"/>
          <w:szCs w:val="28"/>
        </w:rPr>
      </w:pPr>
      <w:r w:rsidRPr="009127E2">
        <w:rPr>
          <w:rFonts w:asciiTheme="majorBidi" w:eastAsia="Calibri" w:hAnsiTheme="majorBidi" w:cstheme="majorBidi"/>
          <w:b/>
          <w:bCs/>
          <w:sz w:val="24"/>
          <w:szCs w:val="24"/>
          <w:u w:val="single"/>
        </w:rPr>
        <w:t>People involved:</w:t>
      </w:r>
      <w:r w:rsidRPr="009127E2">
        <w:rPr>
          <w:rFonts w:asciiTheme="majorBidi" w:eastAsia="Calibri" w:hAnsiTheme="majorBidi" w:cstheme="majorBidi"/>
          <w:sz w:val="28"/>
          <w:szCs w:val="28"/>
        </w:rPr>
        <w:t xml:space="preserve"> </w:t>
      </w:r>
    </w:p>
    <w:p w:rsidR="00D618EE" w:rsidRPr="009127E2" w:rsidRDefault="00D618EE" w:rsidP="009127E2">
      <w:pPr>
        <w:rPr>
          <w:rFonts w:asciiTheme="majorBidi" w:eastAsia="Calibri" w:hAnsiTheme="majorBidi" w:cstheme="majorBidi"/>
          <w:sz w:val="24"/>
          <w:szCs w:val="24"/>
        </w:rPr>
      </w:pPr>
      <w:r w:rsidRPr="009127E2">
        <w:rPr>
          <w:rFonts w:asciiTheme="majorBidi" w:eastAsia="Calibri" w:hAnsiTheme="majorBidi" w:cstheme="majorBidi"/>
          <w:sz w:val="24"/>
          <w:szCs w:val="24"/>
        </w:rPr>
        <w:t>Prof Steve Walkden-Brown, Dr Fakhrul Islam, Dr Katrin Renz, Mr Mamdouh Alsharari, Mrs Kanchana Jayasundara &amp; Mr Train</w:t>
      </w:r>
    </w:p>
    <w:p w:rsidR="00D618EE" w:rsidRPr="009127E2" w:rsidRDefault="00D618EE" w:rsidP="009127E2">
      <w:pPr>
        <w:rPr>
          <w:rFonts w:asciiTheme="majorBidi" w:eastAsia="Calibri" w:hAnsiTheme="majorBidi" w:cstheme="majorBidi"/>
          <w:sz w:val="24"/>
          <w:szCs w:val="24"/>
        </w:rPr>
      </w:pPr>
      <w:r w:rsidRPr="009127E2">
        <w:rPr>
          <w:rFonts w:asciiTheme="majorBidi" w:eastAsia="Calibri" w:hAnsiTheme="majorBidi" w:cstheme="majorBidi"/>
          <w:sz w:val="24"/>
          <w:szCs w:val="24"/>
        </w:rPr>
        <w:t xml:space="preserve">Tran Minh </w:t>
      </w:r>
    </w:p>
    <w:p w:rsidR="00D618EE" w:rsidRPr="009127E2" w:rsidRDefault="00D618EE" w:rsidP="009127E2">
      <w:pPr>
        <w:rPr>
          <w:rFonts w:asciiTheme="majorBidi" w:eastAsia="Calibri" w:hAnsiTheme="majorBidi" w:cstheme="majorBidi"/>
          <w:sz w:val="24"/>
          <w:szCs w:val="24"/>
        </w:rPr>
      </w:pPr>
    </w:p>
    <w:p w:rsidR="00D618EE" w:rsidRPr="009127E2" w:rsidRDefault="00D618EE" w:rsidP="009127E2">
      <w:pPr>
        <w:rPr>
          <w:rFonts w:asciiTheme="majorBidi" w:eastAsia="Calibri" w:hAnsiTheme="majorBidi" w:cstheme="majorBidi"/>
          <w:b/>
          <w:bCs/>
          <w:sz w:val="24"/>
          <w:szCs w:val="24"/>
          <w:u w:val="single"/>
        </w:rPr>
      </w:pPr>
      <w:r w:rsidRPr="009127E2">
        <w:rPr>
          <w:rFonts w:asciiTheme="majorBidi" w:eastAsia="Calibri" w:hAnsiTheme="majorBidi" w:cstheme="majorBidi"/>
          <w:b/>
          <w:bCs/>
          <w:sz w:val="28"/>
          <w:szCs w:val="28"/>
          <w:u w:val="single"/>
        </w:rPr>
        <w:t>Objectives</w:t>
      </w:r>
      <w:r w:rsidR="009127E2" w:rsidRPr="009127E2">
        <w:rPr>
          <w:rFonts w:asciiTheme="majorBidi" w:eastAsia="Calibri" w:hAnsiTheme="majorBidi" w:cstheme="majorBidi"/>
          <w:b/>
          <w:bCs/>
          <w:sz w:val="28"/>
          <w:szCs w:val="28"/>
          <w:u w:val="single"/>
        </w:rPr>
        <w:t>:</w:t>
      </w:r>
      <w:r w:rsidRPr="009127E2">
        <w:rPr>
          <w:rFonts w:asciiTheme="majorBidi" w:eastAsia="Calibri" w:hAnsiTheme="majorBidi" w:cstheme="majorBidi"/>
          <w:b/>
          <w:bCs/>
          <w:sz w:val="24"/>
          <w:szCs w:val="24"/>
          <w:u w:val="single"/>
        </w:rPr>
        <w:br/>
      </w:r>
    </w:p>
    <w:p w:rsidR="00D618EE" w:rsidRPr="009127E2" w:rsidRDefault="00D618EE" w:rsidP="009127E2">
      <w:pPr>
        <w:pStyle w:val="ListParagraph"/>
        <w:numPr>
          <w:ilvl w:val="0"/>
          <w:numId w:val="6"/>
        </w:numPr>
        <w:rPr>
          <w:rFonts w:asciiTheme="majorBidi" w:eastAsia="Calibri" w:hAnsiTheme="majorBidi" w:cstheme="majorBidi"/>
          <w:color w:val="000000"/>
          <w:sz w:val="24"/>
          <w:szCs w:val="24"/>
        </w:rPr>
      </w:pPr>
      <w:r w:rsidRPr="009127E2">
        <w:rPr>
          <w:rFonts w:asciiTheme="majorBidi" w:eastAsia="Calibri" w:hAnsiTheme="majorBidi" w:cstheme="majorBidi"/>
          <w:color w:val="000000"/>
          <w:sz w:val="24"/>
          <w:szCs w:val="24"/>
        </w:rPr>
        <w:t>Determine the most sensitive tissues and the timing of tissue collection for the molecular detection of CAV in antibody-free chickens up to 56 DPI.</w:t>
      </w:r>
    </w:p>
    <w:p w:rsidR="00D618EE" w:rsidRPr="009127E2" w:rsidRDefault="00D618EE" w:rsidP="009127E2">
      <w:pPr>
        <w:pStyle w:val="ListParagraph"/>
        <w:numPr>
          <w:ilvl w:val="0"/>
          <w:numId w:val="6"/>
        </w:numPr>
        <w:rPr>
          <w:rFonts w:asciiTheme="majorBidi" w:eastAsia="Calibri" w:hAnsiTheme="majorBidi" w:cstheme="majorBidi"/>
          <w:color w:val="000000"/>
          <w:sz w:val="24"/>
          <w:szCs w:val="24"/>
        </w:rPr>
      </w:pPr>
      <w:r w:rsidRPr="009127E2">
        <w:rPr>
          <w:rFonts w:asciiTheme="majorBidi" w:eastAsia="Calibri" w:hAnsiTheme="majorBidi" w:cstheme="majorBidi"/>
          <w:color w:val="000000"/>
          <w:sz w:val="24"/>
          <w:szCs w:val="24"/>
        </w:rPr>
        <w:t xml:space="preserve">Determine the detection of CAV from faeces, dust and litter samples, and </w:t>
      </w:r>
    </w:p>
    <w:p w:rsidR="00D618EE" w:rsidRPr="009127E2" w:rsidRDefault="00D618EE" w:rsidP="009127E2">
      <w:pPr>
        <w:pStyle w:val="ListParagraph"/>
        <w:numPr>
          <w:ilvl w:val="0"/>
          <w:numId w:val="6"/>
        </w:numPr>
        <w:rPr>
          <w:rFonts w:asciiTheme="majorBidi" w:eastAsia="Calibri" w:hAnsiTheme="majorBidi" w:cstheme="majorBidi"/>
          <w:color w:val="000000"/>
          <w:sz w:val="24"/>
          <w:szCs w:val="24"/>
        </w:rPr>
      </w:pPr>
      <w:r w:rsidRPr="009127E2">
        <w:rPr>
          <w:rFonts w:asciiTheme="majorBidi" w:eastAsia="Calibri" w:hAnsiTheme="majorBidi" w:cstheme="majorBidi"/>
          <w:color w:val="000000"/>
          <w:sz w:val="24"/>
          <w:szCs w:val="24"/>
        </w:rPr>
        <w:t>Establish a relationship between viral load in tissues and serum antibody levels.</w:t>
      </w:r>
    </w:p>
    <w:p w:rsidR="00D618EE" w:rsidRPr="009127E2" w:rsidRDefault="00D618EE" w:rsidP="009127E2">
      <w:pPr>
        <w:rPr>
          <w:rFonts w:asciiTheme="majorBidi" w:hAnsiTheme="majorBidi" w:cstheme="majorBidi"/>
          <w:sz w:val="24"/>
          <w:szCs w:val="24"/>
        </w:rPr>
      </w:pPr>
    </w:p>
    <w:p w:rsidR="009127E2" w:rsidRPr="009127E2" w:rsidRDefault="009127E2" w:rsidP="009127E2">
      <w:pPr>
        <w:rPr>
          <w:rFonts w:asciiTheme="majorBidi" w:hAnsiTheme="majorBidi" w:cstheme="majorBidi"/>
          <w:b/>
          <w:bCs/>
          <w:sz w:val="24"/>
          <w:szCs w:val="24"/>
        </w:rPr>
      </w:pPr>
      <w:r w:rsidRPr="009127E2">
        <w:rPr>
          <w:rFonts w:asciiTheme="majorBidi" w:hAnsiTheme="majorBidi" w:cstheme="majorBidi"/>
          <w:b/>
          <w:bCs/>
          <w:sz w:val="24"/>
          <w:szCs w:val="24"/>
        </w:rPr>
        <w:t>Experimental design and methodology</w:t>
      </w:r>
    </w:p>
    <w:p w:rsidR="009127E2" w:rsidRPr="009127E2" w:rsidRDefault="009127E2" w:rsidP="009127E2">
      <w:pPr>
        <w:rPr>
          <w:rFonts w:asciiTheme="majorBidi" w:hAnsiTheme="majorBidi" w:cstheme="majorBidi"/>
          <w:b/>
          <w:bCs/>
          <w:sz w:val="24"/>
          <w:szCs w:val="24"/>
        </w:rPr>
      </w:pPr>
      <w:r w:rsidRPr="009127E2">
        <w:rPr>
          <w:rFonts w:asciiTheme="majorBidi" w:hAnsiTheme="majorBidi" w:cstheme="majorBidi"/>
          <w:b/>
          <w:bCs/>
          <w:sz w:val="24"/>
          <w:szCs w:val="24"/>
        </w:rPr>
        <w:t>Experimental design</w:t>
      </w:r>
    </w:p>
    <w:p w:rsidR="009127E2" w:rsidRPr="009127E2" w:rsidRDefault="009127E2" w:rsidP="009127E2">
      <w:pPr>
        <w:rPr>
          <w:rFonts w:asciiTheme="majorBidi" w:hAnsiTheme="majorBidi" w:cstheme="majorBidi"/>
          <w:sz w:val="24"/>
          <w:szCs w:val="24"/>
        </w:rPr>
      </w:pPr>
      <w:r w:rsidRPr="009127E2">
        <w:rPr>
          <w:rFonts w:asciiTheme="majorBidi" w:hAnsiTheme="majorBidi" w:cstheme="majorBidi"/>
          <w:sz w:val="24"/>
          <w:szCs w:val="24"/>
        </w:rPr>
        <w:t>The experiment was conducted in the University of New England (UNE) Chicken Isolator Facility. This experiment ran up to 56 DPI.  Three positive pressure isolators were used in the experiment (Isolators 1, 5 and 9). Twenty day-old SPF chickens were placed in each isolator immediately after arrival from Melbourne, Australia. On the same day chickens of isolators 1 and 5 were infected with CSIRO strain CAU-269/7 at one day old. Each chicken received the equivalent to 10</w:t>
      </w:r>
      <w:r w:rsidRPr="00D578AD">
        <w:rPr>
          <w:rFonts w:asciiTheme="majorBidi" w:hAnsiTheme="majorBidi" w:cstheme="majorBidi"/>
          <w:sz w:val="24"/>
          <w:szCs w:val="24"/>
          <w:vertAlign w:val="superscript"/>
        </w:rPr>
        <w:t>5.9</w:t>
      </w:r>
      <w:r w:rsidRPr="009127E2">
        <w:rPr>
          <w:rFonts w:asciiTheme="majorBidi" w:hAnsiTheme="majorBidi" w:cstheme="majorBidi"/>
          <w:sz w:val="24"/>
          <w:szCs w:val="24"/>
        </w:rPr>
        <w:t xml:space="preserve"> TCID</w:t>
      </w:r>
      <w:bookmarkStart w:id="0" w:name="_GoBack"/>
      <w:r w:rsidRPr="00D578AD">
        <w:rPr>
          <w:rFonts w:asciiTheme="majorBidi" w:hAnsiTheme="majorBidi" w:cstheme="majorBidi"/>
          <w:sz w:val="24"/>
          <w:szCs w:val="24"/>
          <w:vertAlign w:val="subscript"/>
        </w:rPr>
        <w:t>50</w:t>
      </w:r>
      <w:bookmarkEnd w:id="0"/>
      <w:r w:rsidRPr="009127E2">
        <w:rPr>
          <w:rFonts w:asciiTheme="majorBidi" w:hAnsiTheme="majorBidi" w:cstheme="majorBidi"/>
          <w:sz w:val="24"/>
          <w:szCs w:val="24"/>
        </w:rPr>
        <w:t xml:space="preserve"> of the virus in 200 µl volume orally. The chickens of isolator 9 were kept free of infection as negative control. </w:t>
      </w:r>
    </w:p>
    <w:p w:rsidR="009127E2" w:rsidRPr="009127E2" w:rsidRDefault="009127E2" w:rsidP="009127E2">
      <w:pPr>
        <w:rPr>
          <w:rFonts w:asciiTheme="majorBidi" w:hAnsiTheme="majorBidi" w:cstheme="majorBidi"/>
          <w:b/>
          <w:bCs/>
          <w:sz w:val="24"/>
          <w:szCs w:val="24"/>
        </w:rPr>
      </w:pPr>
      <w:r w:rsidRPr="009127E2">
        <w:rPr>
          <w:rFonts w:asciiTheme="majorBidi" w:hAnsiTheme="majorBidi" w:cstheme="majorBidi"/>
          <w:b/>
          <w:bCs/>
          <w:sz w:val="24"/>
          <w:szCs w:val="24"/>
        </w:rPr>
        <w:t>Sample collection and measurements</w:t>
      </w:r>
    </w:p>
    <w:p w:rsidR="009127E2" w:rsidRDefault="009127E2" w:rsidP="009127E2">
      <w:pPr>
        <w:rPr>
          <w:rFonts w:asciiTheme="majorBidi" w:hAnsiTheme="majorBidi" w:cstheme="majorBidi"/>
          <w:sz w:val="24"/>
          <w:szCs w:val="24"/>
        </w:rPr>
      </w:pPr>
      <w:r w:rsidRPr="009127E2">
        <w:rPr>
          <w:rFonts w:asciiTheme="majorBidi" w:hAnsiTheme="majorBidi" w:cstheme="majorBidi"/>
          <w:sz w:val="24"/>
          <w:szCs w:val="24"/>
        </w:rPr>
        <w:t>Three birds from each isolator were removed, humanely killed and samples collected at 7, 14, 21, 42 and 56 DPI to collect tissue samples (thymus, spleen, bursa, bone marrow, gonads, liver, feather shaft, skin and kidney) for viral quantification. Blood was collected from each individual chicken before death. A portion of the blood sample was used for serology and the other portion was used for haematology. Faecal samples were collected from the rectum by emptying the rectal contents into collection tubes. Dust samples were collected twice a week on days 3, 7, 10, 14, 17, 21, 24, 28, 31, 35, 39, 42, 45 and 56 DPI. Litter samples were collected at 7, 14, 21, and 28 DPI. Extra chickens were humanely killed and disposed.</w:t>
      </w:r>
    </w:p>
    <w:p w:rsidR="009127E2" w:rsidRDefault="009127E2" w:rsidP="009127E2">
      <w:pPr>
        <w:rPr>
          <w:rFonts w:asciiTheme="majorBidi" w:hAnsiTheme="majorBidi" w:cstheme="majorBidi"/>
          <w:sz w:val="24"/>
          <w:szCs w:val="24"/>
        </w:rPr>
      </w:pPr>
    </w:p>
    <w:p w:rsidR="009127E2" w:rsidRDefault="009127E2" w:rsidP="009127E2">
      <w:pPr>
        <w:rPr>
          <w:rFonts w:asciiTheme="majorBidi" w:hAnsiTheme="majorBidi" w:cstheme="majorBidi"/>
          <w:sz w:val="24"/>
          <w:szCs w:val="24"/>
        </w:rPr>
      </w:pPr>
    </w:p>
    <w:p w:rsidR="009127E2" w:rsidRDefault="009127E2" w:rsidP="009127E2">
      <w:pPr>
        <w:rPr>
          <w:rFonts w:asciiTheme="majorBidi" w:hAnsiTheme="majorBidi" w:cstheme="majorBidi"/>
          <w:sz w:val="24"/>
          <w:szCs w:val="24"/>
        </w:rPr>
      </w:pPr>
    </w:p>
    <w:p w:rsidR="009127E2" w:rsidRPr="009127E2" w:rsidRDefault="009127E2" w:rsidP="009127E2">
      <w:pPr>
        <w:rPr>
          <w:rFonts w:asciiTheme="majorBidi" w:hAnsiTheme="majorBidi" w:cstheme="majorBidi"/>
          <w:b/>
          <w:bCs/>
          <w:sz w:val="24"/>
          <w:szCs w:val="24"/>
        </w:rPr>
      </w:pPr>
      <w:r w:rsidRPr="009127E2">
        <w:rPr>
          <w:rFonts w:asciiTheme="majorBidi" w:hAnsiTheme="majorBidi" w:cstheme="majorBidi"/>
          <w:b/>
          <w:bCs/>
          <w:sz w:val="24"/>
          <w:szCs w:val="24"/>
        </w:rPr>
        <w:lastRenderedPageBreak/>
        <w:t>Experimental animals</w:t>
      </w:r>
    </w:p>
    <w:p w:rsidR="009127E2" w:rsidRPr="009127E2" w:rsidRDefault="009127E2" w:rsidP="009127E2">
      <w:pPr>
        <w:rPr>
          <w:rFonts w:asciiTheme="majorBidi" w:hAnsiTheme="majorBidi" w:cstheme="majorBidi"/>
          <w:sz w:val="24"/>
          <w:szCs w:val="24"/>
        </w:rPr>
      </w:pPr>
      <w:r w:rsidRPr="009127E2">
        <w:rPr>
          <w:rFonts w:asciiTheme="majorBidi" w:hAnsiTheme="majorBidi" w:cstheme="majorBidi"/>
          <w:sz w:val="24"/>
          <w:szCs w:val="24"/>
        </w:rPr>
        <w:t>Specific pathogen-free chicks were obtained from Australian SPF Services Pty Limited, Melbourne VIC, Australia, under animal ethics number AEC13-119. The breed of the chickens was White Leghorn.</w:t>
      </w:r>
    </w:p>
    <w:p w:rsidR="009127E2" w:rsidRPr="009127E2" w:rsidRDefault="009127E2" w:rsidP="009127E2">
      <w:pPr>
        <w:rPr>
          <w:rFonts w:asciiTheme="majorBidi" w:hAnsiTheme="majorBidi" w:cstheme="majorBidi"/>
          <w:b/>
          <w:bCs/>
          <w:sz w:val="24"/>
          <w:szCs w:val="24"/>
        </w:rPr>
      </w:pPr>
      <w:r w:rsidRPr="009127E2">
        <w:rPr>
          <w:rFonts w:asciiTheme="majorBidi" w:hAnsiTheme="majorBidi" w:cstheme="majorBidi"/>
          <w:b/>
          <w:bCs/>
          <w:sz w:val="24"/>
          <w:szCs w:val="24"/>
        </w:rPr>
        <w:t>Infection method</w:t>
      </w:r>
    </w:p>
    <w:p w:rsidR="009127E2" w:rsidRPr="009127E2" w:rsidRDefault="009127E2" w:rsidP="009127E2">
      <w:pPr>
        <w:rPr>
          <w:rFonts w:asciiTheme="majorBidi" w:hAnsiTheme="majorBidi" w:cstheme="majorBidi"/>
          <w:sz w:val="24"/>
          <w:szCs w:val="24"/>
        </w:rPr>
      </w:pPr>
      <w:r w:rsidRPr="009127E2">
        <w:rPr>
          <w:rFonts w:asciiTheme="majorBidi" w:hAnsiTheme="majorBidi" w:cstheme="majorBidi"/>
          <w:sz w:val="24"/>
          <w:szCs w:val="24"/>
        </w:rPr>
        <w:t>A 1.5 ml vial of a pathogenic strain of CAV (CAU-269/7) with a potency of 10</w:t>
      </w:r>
      <w:r w:rsidRPr="009127E2">
        <w:rPr>
          <w:rFonts w:asciiTheme="majorBidi" w:hAnsiTheme="majorBidi" w:cstheme="majorBidi"/>
          <w:sz w:val="24"/>
          <w:szCs w:val="24"/>
          <w:vertAlign w:val="superscript"/>
        </w:rPr>
        <w:t>7</w:t>
      </w:r>
      <w:r w:rsidRPr="009127E2">
        <w:rPr>
          <w:rFonts w:asciiTheme="majorBidi" w:hAnsiTheme="majorBidi" w:cstheme="majorBidi"/>
          <w:sz w:val="24"/>
          <w:szCs w:val="24"/>
        </w:rPr>
        <w:t xml:space="preserve"> TCID</w:t>
      </w:r>
      <w:r w:rsidRPr="009127E2">
        <w:rPr>
          <w:rFonts w:asciiTheme="majorBidi" w:hAnsiTheme="majorBidi" w:cstheme="majorBidi"/>
          <w:sz w:val="24"/>
          <w:szCs w:val="24"/>
          <w:vertAlign w:val="subscript"/>
        </w:rPr>
        <w:t>50</w:t>
      </w:r>
      <w:r w:rsidRPr="009127E2">
        <w:rPr>
          <w:rFonts w:asciiTheme="majorBidi" w:hAnsiTheme="majorBidi" w:cstheme="majorBidi"/>
          <w:sz w:val="24"/>
          <w:szCs w:val="24"/>
        </w:rPr>
        <w:t>/ml was obtained from the Australian Animal Health Laboratories, CSIRO, and Victoria. The whole contents of the vial were added to 2.5 ml of sterile PBS to make 4 ml. Each chicken received 200µl (equivalent to 10</w:t>
      </w:r>
      <w:r w:rsidRPr="009127E2">
        <w:rPr>
          <w:rFonts w:asciiTheme="majorBidi" w:hAnsiTheme="majorBidi" w:cstheme="majorBidi"/>
          <w:sz w:val="24"/>
          <w:szCs w:val="24"/>
          <w:vertAlign w:val="superscript"/>
        </w:rPr>
        <w:t xml:space="preserve">5.9 </w:t>
      </w:r>
      <w:r w:rsidRPr="009127E2">
        <w:rPr>
          <w:rFonts w:asciiTheme="majorBidi" w:hAnsiTheme="majorBidi" w:cstheme="majorBidi"/>
          <w:sz w:val="24"/>
          <w:szCs w:val="24"/>
        </w:rPr>
        <w:t>TCID</w:t>
      </w:r>
      <w:r w:rsidRPr="009127E2">
        <w:rPr>
          <w:rFonts w:asciiTheme="majorBidi" w:hAnsiTheme="majorBidi" w:cstheme="majorBidi"/>
          <w:sz w:val="24"/>
          <w:szCs w:val="24"/>
          <w:vertAlign w:val="subscript"/>
        </w:rPr>
        <w:t>50</w:t>
      </w:r>
      <w:r w:rsidRPr="009127E2">
        <w:rPr>
          <w:rFonts w:asciiTheme="majorBidi" w:hAnsiTheme="majorBidi" w:cstheme="majorBidi"/>
          <w:sz w:val="24"/>
          <w:szCs w:val="24"/>
        </w:rPr>
        <w:t>) orally</w:t>
      </w:r>
      <w:r w:rsidRPr="009127E2">
        <w:rPr>
          <w:rFonts w:asciiTheme="majorBidi" w:hAnsiTheme="majorBidi" w:cstheme="majorBidi"/>
          <w:sz w:val="24"/>
          <w:szCs w:val="24"/>
        </w:rPr>
        <w:t>.</w:t>
      </w:r>
    </w:p>
    <w:p w:rsidR="00200523" w:rsidRPr="009127E2" w:rsidRDefault="00200523" w:rsidP="009127E2">
      <w:pPr>
        <w:rPr>
          <w:rFonts w:asciiTheme="majorBidi" w:hAnsiTheme="majorBidi" w:cstheme="majorBidi"/>
          <w:sz w:val="24"/>
          <w:szCs w:val="24"/>
        </w:rPr>
      </w:pPr>
    </w:p>
    <w:sectPr w:rsidR="00200523" w:rsidRPr="009127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AF4" w:rsidRDefault="00374AF4" w:rsidP="00374AF4">
      <w:pPr>
        <w:spacing w:after="0" w:line="240" w:lineRule="auto"/>
      </w:pPr>
      <w:r>
        <w:separator/>
      </w:r>
    </w:p>
  </w:endnote>
  <w:endnote w:type="continuationSeparator" w:id="0">
    <w:p w:rsidR="00374AF4" w:rsidRDefault="00374AF4" w:rsidP="00374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AF4" w:rsidRDefault="00374AF4" w:rsidP="00374AF4">
      <w:pPr>
        <w:spacing w:after="0" w:line="240" w:lineRule="auto"/>
      </w:pPr>
      <w:r>
        <w:separator/>
      </w:r>
    </w:p>
  </w:footnote>
  <w:footnote w:type="continuationSeparator" w:id="0">
    <w:p w:rsidR="00374AF4" w:rsidRDefault="00374AF4" w:rsidP="00374A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442D2"/>
    <w:multiLevelType w:val="hybridMultilevel"/>
    <w:tmpl w:val="63DE91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9B407E"/>
    <w:multiLevelType w:val="hybridMultilevel"/>
    <w:tmpl w:val="C90443E8"/>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42015ED8"/>
    <w:multiLevelType w:val="hybridMultilevel"/>
    <w:tmpl w:val="A1E09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61F21E5"/>
    <w:multiLevelType w:val="hybridMultilevel"/>
    <w:tmpl w:val="253028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C4A270F"/>
    <w:multiLevelType w:val="hybridMultilevel"/>
    <w:tmpl w:val="BD3427C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FCE6045"/>
    <w:multiLevelType w:val="hybridMultilevel"/>
    <w:tmpl w:val="ED882DC4"/>
    <w:lvl w:ilvl="0" w:tplc="3B28C07C">
      <w:start w:val="1"/>
      <w:numFmt w:val="decimal"/>
      <w:lvlText w:val="%1."/>
      <w:lvlJc w:val="left"/>
      <w:pPr>
        <w:ind w:left="720"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8EE"/>
    <w:rsid w:val="001605CA"/>
    <w:rsid w:val="00200523"/>
    <w:rsid w:val="00374AF4"/>
    <w:rsid w:val="00757D81"/>
    <w:rsid w:val="009127E2"/>
    <w:rsid w:val="00CD7166"/>
    <w:rsid w:val="00D578AD"/>
    <w:rsid w:val="00D618E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46717"/>
  <w15:chartTrackingRefBased/>
  <w15:docId w15:val="{570DF872-58CF-4FCD-AE6C-D2393B6C5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5C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D618EE"/>
    <w:pPr>
      <w:autoSpaceDE w:val="0"/>
      <w:autoSpaceDN w:val="0"/>
      <w:spacing w:before="120" w:after="0" w:line="240" w:lineRule="auto"/>
      <w:ind w:left="284" w:right="811" w:hanging="284"/>
    </w:pPr>
    <w:rPr>
      <w:rFonts w:ascii="Times New Roman" w:eastAsia="SimSun" w:hAnsi="Times New Roman" w:cs="Times New Roman"/>
      <w:sz w:val="20"/>
      <w:szCs w:val="20"/>
    </w:rPr>
  </w:style>
  <w:style w:type="paragraph" w:styleId="ListParagraph">
    <w:name w:val="List Paragraph"/>
    <w:basedOn w:val="Normal"/>
    <w:uiPriority w:val="34"/>
    <w:qFormat/>
    <w:rsid w:val="00D618EE"/>
    <w:pPr>
      <w:spacing w:after="200" w:line="276" w:lineRule="auto"/>
      <w:ind w:left="720"/>
      <w:contextualSpacing/>
    </w:pPr>
  </w:style>
  <w:style w:type="character" w:customStyle="1" w:styleId="Heading1Char">
    <w:name w:val="Heading 1 Char"/>
    <w:basedOn w:val="DefaultParagraphFont"/>
    <w:link w:val="Heading1"/>
    <w:uiPriority w:val="9"/>
    <w:rsid w:val="001605CA"/>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160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4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AF4"/>
  </w:style>
  <w:style w:type="paragraph" w:styleId="Footer">
    <w:name w:val="footer"/>
    <w:basedOn w:val="Normal"/>
    <w:link w:val="FooterChar"/>
    <w:uiPriority w:val="99"/>
    <w:unhideWhenUsed/>
    <w:rsid w:val="00374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386</Words>
  <Characters>2205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Mamdouh Madallah L Alsharari</dc:creator>
  <cp:keywords/>
  <dc:description/>
  <cp:lastModifiedBy>Mamdouh Madallah L Alsharari</cp:lastModifiedBy>
  <cp:revision>6</cp:revision>
  <dcterms:created xsi:type="dcterms:W3CDTF">2018-01-17T10:53:00Z</dcterms:created>
  <dcterms:modified xsi:type="dcterms:W3CDTF">2018-01-21T08:45:00Z</dcterms:modified>
</cp:coreProperties>
</file>