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0B0E5A" w14:textId="1D6C6459" w:rsidR="00CE2FA1" w:rsidRDefault="00CE2FA1" w:rsidP="00CE2FA1">
      <w:pPr>
        <w:jc w:val="center"/>
        <w:rPr>
          <w:b/>
          <w:sz w:val="36"/>
          <w:szCs w:val="36"/>
        </w:rPr>
      </w:pPr>
      <w:r>
        <w:rPr>
          <w:b/>
          <w:noProof/>
          <w:sz w:val="36"/>
          <w:szCs w:val="36"/>
          <w:lang w:val="en-US"/>
        </w:rPr>
        <w:drawing>
          <wp:anchor distT="0" distB="0" distL="114300" distR="114300" simplePos="0" relativeHeight="251658240" behindDoc="0" locked="0" layoutInCell="1" allowOverlap="1" wp14:anchorId="6D8A7A6A" wp14:editId="50FC4A82">
            <wp:simplePos x="0" y="0"/>
            <wp:positionH relativeFrom="column">
              <wp:posOffset>4740789</wp:posOffset>
            </wp:positionH>
            <wp:positionV relativeFrom="paragraph">
              <wp:posOffset>16</wp:posOffset>
            </wp:positionV>
            <wp:extent cx="1264920" cy="1264920"/>
            <wp:effectExtent l="0" t="0" r="5080" b="5080"/>
            <wp:wrapSquare wrapText="bothSides"/>
            <wp:docPr id="1" name="Picture 1" descr="Logos/UNE_SPOT_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s/UNE_SPOT_C.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64920" cy="12649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C34227" w14:textId="77777777" w:rsidR="00CE2FA1" w:rsidRDefault="00CE2FA1" w:rsidP="00CE2FA1">
      <w:pPr>
        <w:jc w:val="center"/>
        <w:rPr>
          <w:b/>
          <w:sz w:val="36"/>
          <w:szCs w:val="36"/>
        </w:rPr>
      </w:pPr>
    </w:p>
    <w:p w14:paraId="52CDC5B5" w14:textId="77777777" w:rsidR="00CE2FA1" w:rsidRDefault="00CE2FA1" w:rsidP="00CE2FA1">
      <w:pPr>
        <w:jc w:val="center"/>
        <w:rPr>
          <w:b/>
          <w:sz w:val="36"/>
          <w:szCs w:val="36"/>
        </w:rPr>
      </w:pPr>
    </w:p>
    <w:p w14:paraId="3B268E31" w14:textId="77777777" w:rsidR="00CE2FA1" w:rsidRDefault="00CE2FA1" w:rsidP="00CE2FA1">
      <w:pPr>
        <w:jc w:val="center"/>
        <w:rPr>
          <w:b/>
          <w:sz w:val="36"/>
          <w:szCs w:val="36"/>
        </w:rPr>
      </w:pPr>
    </w:p>
    <w:p w14:paraId="41422871" w14:textId="6FD36F94" w:rsidR="0043194F" w:rsidRDefault="00B6642C" w:rsidP="00CE2FA1">
      <w:pPr>
        <w:jc w:val="center"/>
        <w:rPr>
          <w:b/>
          <w:sz w:val="36"/>
          <w:szCs w:val="36"/>
        </w:rPr>
      </w:pPr>
      <w:r w:rsidRPr="00CE2FA1">
        <w:rPr>
          <w:b/>
          <w:sz w:val="36"/>
          <w:szCs w:val="36"/>
        </w:rPr>
        <w:t>Minimum Metadata Fields</w:t>
      </w:r>
      <w:r w:rsidR="00CE2FA1" w:rsidRPr="00CE2FA1">
        <w:rPr>
          <w:b/>
          <w:sz w:val="36"/>
          <w:szCs w:val="36"/>
        </w:rPr>
        <w:t xml:space="preserve"> for Research Data</w:t>
      </w:r>
    </w:p>
    <w:tbl>
      <w:tblPr>
        <w:tblStyle w:val="TableGrid"/>
        <w:tblpPr w:leftFromText="180" w:rightFromText="180" w:vertAnchor="page" w:horzAnchor="page" w:tblpX="1630" w:tblpY="4685"/>
        <w:tblW w:w="8926" w:type="dxa"/>
        <w:tblLook w:val="04A0" w:firstRow="1" w:lastRow="0" w:firstColumn="1" w:lastColumn="0" w:noHBand="0" w:noVBand="1"/>
      </w:tblPr>
      <w:tblGrid>
        <w:gridCol w:w="3348"/>
        <w:gridCol w:w="5578"/>
      </w:tblGrid>
      <w:tr w:rsidR="00CE2FA1" w14:paraId="5AF76B77" w14:textId="77777777" w:rsidTr="00CE2FA1">
        <w:trPr>
          <w:trHeight w:val="298"/>
        </w:trPr>
        <w:tc>
          <w:tcPr>
            <w:tcW w:w="3348" w:type="dxa"/>
          </w:tcPr>
          <w:p w14:paraId="6E2EEE39" w14:textId="77777777" w:rsidR="00CE2FA1" w:rsidRPr="00CE2FA1" w:rsidRDefault="00CE2FA1" w:rsidP="00CE2FA1">
            <w:pPr>
              <w:rPr>
                <w:b/>
                <w:sz w:val="28"/>
                <w:szCs w:val="28"/>
              </w:rPr>
            </w:pPr>
            <w:r w:rsidRPr="00CE2FA1">
              <w:rPr>
                <w:b/>
                <w:sz w:val="28"/>
                <w:szCs w:val="28"/>
              </w:rPr>
              <w:t xml:space="preserve">Metadata </w:t>
            </w:r>
            <w:r>
              <w:rPr>
                <w:b/>
                <w:sz w:val="28"/>
                <w:szCs w:val="28"/>
              </w:rPr>
              <w:t>fields</w:t>
            </w:r>
          </w:p>
        </w:tc>
        <w:tc>
          <w:tcPr>
            <w:tcW w:w="5578" w:type="dxa"/>
          </w:tcPr>
          <w:p w14:paraId="1975E5A3" w14:textId="77777777" w:rsidR="00CE2FA1" w:rsidRPr="00CE2FA1" w:rsidRDefault="00CE2FA1" w:rsidP="00CE2FA1">
            <w:pPr>
              <w:rPr>
                <w:b/>
                <w:sz w:val="28"/>
                <w:szCs w:val="28"/>
              </w:rPr>
            </w:pPr>
            <w:r w:rsidRPr="00CE2FA1">
              <w:rPr>
                <w:b/>
                <w:sz w:val="28"/>
                <w:szCs w:val="28"/>
              </w:rPr>
              <w:t>Description*</w:t>
            </w:r>
          </w:p>
        </w:tc>
      </w:tr>
      <w:tr w:rsidR="00CE2FA1" w14:paraId="613107D0" w14:textId="77777777" w:rsidTr="00CE2FA1">
        <w:tc>
          <w:tcPr>
            <w:tcW w:w="3348" w:type="dxa"/>
          </w:tcPr>
          <w:p w14:paraId="74DD9E22" w14:textId="77777777" w:rsidR="00CE2FA1" w:rsidRPr="00CE2FA1" w:rsidRDefault="00CE2FA1" w:rsidP="00CE2FA1">
            <w:pPr>
              <w:rPr>
                <w:b/>
              </w:rPr>
            </w:pPr>
            <w:r w:rsidRPr="00CE2FA1">
              <w:rPr>
                <w:b/>
              </w:rPr>
              <w:t>Title</w:t>
            </w:r>
          </w:p>
        </w:tc>
        <w:tc>
          <w:tcPr>
            <w:tcW w:w="5578" w:type="dxa"/>
          </w:tcPr>
          <w:p w14:paraId="750879AE" w14:textId="29704D82" w:rsidR="00CE2FA1" w:rsidRDefault="0043194F" w:rsidP="002C5680">
            <w:pPr>
              <w:spacing w:line="360" w:lineRule="auto"/>
            </w:pPr>
            <w:r>
              <w:t>Anticipatory Traumatic Reaction</w:t>
            </w:r>
            <w:r w:rsidR="00A123D1">
              <w:t xml:space="preserve">: </w:t>
            </w:r>
            <w:r w:rsidR="002C5680">
              <w:t>Risks and Interventions</w:t>
            </w:r>
            <w:r w:rsidR="00B46B6A">
              <w:t xml:space="preserve"> </w:t>
            </w:r>
            <w:r w:rsidR="00A123D1">
              <w:t>(</w:t>
            </w:r>
            <w:r w:rsidR="00B46B6A">
              <w:t xml:space="preserve">Thesis </w:t>
            </w:r>
            <w:r w:rsidR="00A123D1">
              <w:t>Stud</w:t>
            </w:r>
            <w:r w:rsidR="002C5680">
              <w:t>y 6</w:t>
            </w:r>
            <w:r w:rsidR="00A123D1">
              <w:t>)</w:t>
            </w:r>
          </w:p>
        </w:tc>
      </w:tr>
      <w:tr w:rsidR="00CE2FA1" w14:paraId="45F71DF0" w14:textId="77777777" w:rsidTr="00CE2FA1">
        <w:tc>
          <w:tcPr>
            <w:tcW w:w="3348" w:type="dxa"/>
          </w:tcPr>
          <w:p w14:paraId="31059D4A" w14:textId="77777777" w:rsidR="00CE2FA1" w:rsidRPr="00CE2FA1" w:rsidRDefault="00CE2FA1" w:rsidP="00CE2FA1">
            <w:pPr>
              <w:rPr>
                <w:b/>
              </w:rPr>
            </w:pPr>
            <w:r w:rsidRPr="00CE2FA1">
              <w:rPr>
                <w:b/>
              </w:rPr>
              <w:t>Type</w:t>
            </w:r>
          </w:p>
        </w:tc>
        <w:tc>
          <w:tcPr>
            <w:tcW w:w="5578" w:type="dxa"/>
          </w:tcPr>
          <w:p w14:paraId="3F6FFAD9" w14:textId="4AD4A19A" w:rsidR="00CE2FA1" w:rsidRDefault="007C00C9" w:rsidP="00241881">
            <w:pPr>
              <w:spacing w:line="360" w:lineRule="auto"/>
            </w:pPr>
            <w:r>
              <w:t>One dataset (SPSS data file</w:t>
            </w:r>
            <w:r w:rsidR="00241881">
              <w:t>)</w:t>
            </w:r>
          </w:p>
        </w:tc>
      </w:tr>
      <w:tr w:rsidR="00CE2FA1" w14:paraId="47453C45" w14:textId="77777777" w:rsidTr="00CE2FA1">
        <w:tc>
          <w:tcPr>
            <w:tcW w:w="3348" w:type="dxa"/>
          </w:tcPr>
          <w:p w14:paraId="3444687D" w14:textId="77777777" w:rsidR="00CE2FA1" w:rsidRPr="00CE2FA1" w:rsidRDefault="00CE2FA1" w:rsidP="00CE2FA1">
            <w:pPr>
              <w:rPr>
                <w:b/>
              </w:rPr>
            </w:pPr>
            <w:r w:rsidRPr="00CE2FA1">
              <w:rPr>
                <w:b/>
              </w:rPr>
              <w:t>Date coverage</w:t>
            </w:r>
          </w:p>
        </w:tc>
        <w:tc>
          <w:tcPr>
            <w:tcW w:w="5578" w:type="dxa"/>
          </w:tcPr>
          <w:p w14:paraId="3F695741" w14:textId="2D6E3951" w:rsidR="00CE2FA1" w:rsidRDefault="00174922" w:rsidP="00174922">
            <w:pPr>
              <w:spacing w:line="360" w:lineRule="auto"/>
            </w:pPr>
            <w:r>
              <w:t>April</w:t>
            </w:r>
            <w:r w:rsidR="00A123D1">
              <w:t>, 201</w:t>
            </w:r>
            <w:r>
              <w:t>7</w:t>
            </w:r>
          </w:p>
        </w:tc>
      </w:tr>
      <w:tr w:rsidR="00CE2FA1" w14:paraId="7F9AE26D" w14:textId="77777777" w:rsidTr="00CE2FA1">
        <w:tc>
          <w:tcPr>
            <w:tcW w:w="3348" w:type="dxa"/>
          </w:tcPr>
          <w:p w14:paraId="4625ECDF" w14:textId="77777777" w:rsidR="00CE2FA1" w:rsidRPr="00CE2FA1" w:rsidRDefault="00CE2FA1" w:rsidP="00CE2FA1">
            <w:pPr>
              <w:rPr>
                <w:b/>
              </w:rPr>
            </w:pPr>
            <w:r w:rsidRPr="00CE2FA1">
              <w:rPr>
                <w:b/>
              </w:rPr>
              <w:t>Geospatial location</w:t>
            </w:r>
          </w:p>
        </w:tc>
        <w:tc>
          <w:tcPr>
            <w:tcW w:w="5578" w:type="dxa"/>
          </w:tcPr>
          <w:p w14:paraId="37FCFDA1" w14:textId="6B52533A" w:rsidR="00CE2FA1" w:rsidRDefault="00A123D1" w:rsidP="00241881">
            <w:pPr>
              <w:spacing w:line="360" w:lineRule="auto"/>
            </w:pPr>
            <w:r>
              <w:t>Australia</w:t>
            </w:r>
            <w:bookmarkStart w:id="0" w:name="_GoBack"/>
            <w:bookmarkEnd w:id="0"/>
          </w:p>
        </w:tc>
      </w:tr>
      <w:tr w:rsidR="00CE2FA1" w14:paraId="7C7B499F" w14:textId="77777777" w:rsidTr="00CE2FA1">
        <w:tc>
          <w:tcPr>
            <w:tcW w:w="3348" w:type="dxa"/>
          </w:tcPr>
          <w:p w14:paraId="73ED60BD" w14:textId="77777777" w:rsidR="00CE2FA1" w:rsidRPr="00CE2FA1" w:rsidRDefault="00CE2FA1" w:rsidP="00CE2FA1">
            <w:pPr>
              <w:rPr>
                <w:b/>
              </w:rPr>
            </w:pPr>
            <w:r w:rsidRPr="00CE2FA1">
              <w:rPr>
                <w:b/>
              </w:rPr>
              <w:t>Description of the dataset – abstract, methodology, and sources</w:t>
            </w:r>
          </w:p>
        </w:tc>
        <w:tc>
          <w:tcPr>
            <w:tcW w:w="5578" w:type="dxa"/>
          </w:tcPr>
          <w:p w14:paraId="74A51749" w14:textId="4CC65615" w:rsidR="00CE2FA1" w:rsidRDefault="00174922" w:rsidP="00174922">
            <w:pPr>
              <w:pStyle w:val="BodyText"/>
              <w:spacing w:before="80" w:line="360" w:lineRule="auto"/>
              <w:ind w:left="0"/>
            </w:pPr>
            <w:r w:rsidRPr="00174922">
              <w:rPr>
                <w:rFonts w:asciiTheme="minorHAnsi" w:eastAsiaTheme="minorHAnsi" w:hAnsiTheme="minorHAnsi"/>
                <w:sz w:val="22"/>
                <w:szCs w:val="22"/>
                <w:lang w:val="en-AU"/>
              </w:rPr>
              <w:t xml:space="preserve">An online experiment </w:t>
            </w:r>
            <w:r>
              <w:rPr>
                <w:rFonts w:asciiTheme="minorHAnsi" w:eastAsiaTheme="minorHAnsi" w:hAnsiTheme="minorHAnsi"/>
                <w:sz w:val="22"/>
                <w:szCs w:val="22"/>
                <w:lang w:val="en-AU"/>
              </w:rPr>
              <w:t>assessed</w:t>
            </w:r>
            <w:r w:rsidRPr="00174922">
              <w:rPr>
                <w:rFonts w:asciiTheme="minorHAnsi" w:eastAsiaTheme="minorHAnsi" w:hAnsiTheme="minorHAnsi"/>
                <w:sz w:val="22"/>
                <w:szCs w:val="22"/>
                <w:lang w:val="en-AU"/>
              </w:rPr>
              <w:t xml:space="preserve"> the effectiveness of interventions intended to mitigate anticipatory traumatic reaction, a form of future-focused distress occurring in response to threat-related media reports and discussions. A stratified sample of 512 Australian adults (</w:t>
            </w:r>
            <w:r>
              <w:rPr>
                <w:rFonts w:asciiTheme="minorHAnsi" w:eastAsiaTheme="minorHAnsi" w:hAnsiTheme="minorHAnsi"/>
                <w:sz w:val="22"/>
                <w:szCs w:val="22"/>
                <w:lang w:val="en-AU"/>
              </w:rPr>
              <w:t>recruited via online Qualtrics panels</w:t>
            </w:r>
            <w:r w:rsidRPr="00174922">
              <w:rPr>
                <w:rFonts w:asciiTheme="minorHAnsi" w:eastAsiaTheme="minorHAnsi" w:hAnsiTheme="minorHAnsi"/>
                <w:sz w:val="22"/>
                <w:szCs w:val="22"/>
                <w:lang w:val="en-AU"/>
              </w:rPr>
              <w:t>) completed measures of anticipatory traumatic reaction, positive and negative affect, empathy, intolerance of uncertainty, and repetitive negative thinking.  Participants then viewed a stimulus video containing a series of terrorism and crime reports, and were randomly assigned to one of seven conditions.  The conditions consisted of six brief online interventions, based on standard psychological treatments for anxiety and mood disorders, and one control condition</w:t>
            </w:r>
            <w:r>
              <w:rPr>
                <w:rFonts w:asciiTheme="minorHAnsi" w:eastAsiaTheme="minorHAnsi" w:hAnsiTheme="minorHAnsi"/>
                <w:sz w:val="22"/>
                <w:szCs w:val="22"/>
                <w:lang w:val="en-AU"/>
              </w:rPr>
              <w:t xml:space="preserve">.  </w:t>
            </w:r>
            <w:r w:rsidRPr="00174922">
              <w:rPr>
                <w:rFonts w:asciiTheme="minorHAnsi" w:eastAsiaTheme="minorHAnsi" w:hAnsiTheme="minorHAnsi"/>
                <w:sz w:val="22"/>
                <w:szCs w:val="22"/>
                <w:lang w:val="en-AU"/>
              </w:rPr>
              <w:t xml:space="preserve">Risk factors for experiencing higher levels of general anticipatory traumatic reaction included being female, being younger, living with a mental illness, repetitive negative thinking, intolerance of uncertainty, personal distress empathy, fantasy empathy, and a concern about world politics.  A cognitive intervention to address probability neglect and a </w:t>
            </w:r>
            <w:r w:rsidRPr="00174922">
              <w:rPr>
                <w:rFonts w:asciiTheme="minorHAnsi" w:eastAsiaTheme="minorHAnsi" w:hAnsiTheme="minorHAnsi"/>
                <w:sz w:val="22"/>
                <w:szCs w:val="22"/>
                <w:lang w:val="en-AU"/>
              </w:rPr>
              <w:lastRenderedPageBreak/>
              <w:t>mindfulness intervention both significantly attenuated momentary anticipatory traumatic reaction</w:t>
            </w:r>
            <w:r>
              <w:rPr>
                <w:rFonts w:asciiTheme="minorHAnsi" w:eastAsiaTheme="minorHAnsi" w:hAnsiTheme="minorHAnsi"/>
                <w:sz w:val="22"/>
                <w:szCs w:val="22"/>
                <w:lang w:val="en-AU"/>
              </w:rPr>
              <w:t xml:space="preserve">.  </w:t>
            </w:r>
            <w:r w:rsidRPr="00174922">
              <w:rPr>
                <w:rFonts w:asciiTheme="minorHAnsi" w:eastAsiaTheme="minorHAnsi" w:hAnsiTheme="minorHAnsi"/>
                <w:sz w:val="22"/>
                <w:szCs w:val="22"/>
                <w:lang w:val="en-AU"/>
              </w:rPr>
              <w:t>This research provides a platform for better understanding the phenomenon of anticipatory traumatic reaction and reducing levels of distress for affected individuals.</w:t>
            </w:r>
            <w:r>
              <w:t xml:space="preserve"> </w:t>
            </w:r>
          </w:p>
        </w:tc>
      </w:tr>
      <w:tr w:rsidR="00CE2FA1" w14:paraId="3F29C24C" w14:textId="77777777" w:rsidTr="00CE2FA1">
        <w:tc>
          <w:tcPr>
            <w:tcW w:w="3348" w:type="dxa"/>
          </w:tcPr>
          <w:p w14:paraId="20C44D94" w14:textId="77777777" w:rsidR="00CE2FA1" w:rsidRPr="00CE2FA1" w:rsidRDefault="00CE2FA1" w:rsidP="00CE2FA1">
            <w:pPr>
              <w:rPr>
                <w:b/>
              </w:rPr>
            </w:pPr>
            <w:r w:rsidRPr="00CE2FA1">
              <w:rPr>
                <w:b/>
              </w:rPr>
              <w:lastRenderedPageBreak/>
              <w:t>Related publication</w:t>
            </w:r>
          </w:p>
        </w:tc>
        <w:tc>
          <w:tcPr>
            <w:tcW w:w="5578" w:type="dxa"/>
          </w:tcPr>
          <w:p w14:paraId="25E0E123" w14:textId="5DAC77AD" w:rsidR="00CE2FA1" w:rsidRDefault="007C00C9" w:rsidP="00727C73">
            <w:pPr>
              <w:pStyle w:val="Heading1"/>
              <w:tabs>
                <w:tab w:val="left" w:pos="5954"/>
              </w:tabs>
              <w:spacing w:before="69" w:line="360" w:lineRule="auto"/>
              <w:ind w:left="450" w:right="-51" w:hanging="540"/>
              <w:jc w:val="left"/>
              <w:outlineLvl w:val="0"/>
            </w:pPr>
            <w:r>
              <w:rPr>
                <w:rFonts w:asciiTheme="minorHAnsi" w:eastAsiaTheme="minorHAnsi" w:hAnsiTheme="minorHAnsi" w:cstheme="minorBidi"/>
                <w:b w:val="0"/>
                <w:color w:val="auto"/>
                <w:sz w:val="22"/>
                <w:szCs w:val="22"/>
                <w:lang w:val="en-AU"/>
              </w:rPr>
              <w:t xml:space="preserve"> </w:t>
            </w:r>
            <w:r w:rsidRPr="00AD6F12">
              <w:rPr>
                <w:rFonts w:asciiTheme="minorHAnsi" w:eastAsiaTheme="minorHAnsi" w:hAnsiTheme="minorHAnsi" w:cstheme="minorBidi"/>
                <w:b w:val="0"/>
                <w:color w:val="auto"/>
                <w:sz w:val="22"/>
                <w:szCs w:val="22"/>
                <w:lang w:val="en-AU"/>
              </w:rPr>
              <w:t>Nil</w:t>
            </w:r>
            <w:r>
              <w:rPr>
                <w:rFonts w:asciiTheme="minorHAnsi" w:eastAsiaTheme="minorHAnsi" w:hAnsiTheme="minorHAnsi" w:cstheme="minorBidi"/>
                <w:b w:val="0"/>
                <w:color w:val="auto"/>
                <w:sz w:val="22"/>
                <w:szCs w:val="22"/>
                <w:lang w:val="en-AU"/>
              </w:rPr>
              <w:t xml:space="preserve"> (Article under review)</w:t>
            </w:r>
          </w:p>
        </w:tc>
      </w:tr>
      <w:tr w:rsidR="00CE2FA1" w14:paraId="1D42D344" w14:textId="77777777" w:rsidTr="00CE2FA1">
        <w:tc>
          <w:tcPr>
            <w:tcW w:w="3348" w:type="dxa"/>
          </w:tcPr>
          <w:p w14:paraId="400FBB7F" w14:textId="77777777" w:rsidR="00CE2FA1" w:rsidRPr="00CE2FA1" w:rsidRDefault="00CE2FA1" w:rsidP="00CE2FA1">
            <w:pPr>
              <w:rPr>
                <w:b/>
              </w:rPr>
            </w:pPr>
            <w:r w:rsidRPr="00CE2FA1">
              <w:rPr>
                <w:b/>
              </w:rPr>
              <w:t>Related websites</w:t>
            </w:r>
          </w:p>
        </w:tc>
        <w:tc>
          <w:tcPr>
            <w:tcW w:w="5578" w:type="dxa"/>
          </w:tcPr>
          <w:p w14:paraId="3698C177" w14:textId="3FF9A57A" w:rsidR="00CE2FA1" w:rsidRDefault="00727C73" w:rsidP="00CE2FA1">
            <w:r>
              <w:t>Nil</w:t>
            </w:r>
          </w:p>
        </w:tc>
      </w:tr>
      <w:tr w:rsidR="00CE2FA1" w14:paraId="5F5D5B6A" w14:textId="77777777" w:rsidTr="00CE2FA1">
        <w:tc>
          <w:tcPr>
            <w:tcW w:w="3348" w:type="dxa"/>
          </w:tcPr>
          <w:p w14:paraId="27AF93CC" w14:textId="77777777" w:rsidR="00CE2FA1" w:rsidRPr="00CE2FA1" w:rsidRDefault="00CE2FA1" w:rsidP="00CE2FA1">
            <w:pPr>
              <w:rPr>
                <w:b/>
              </w:rPr>
            </w:pPr>
            <w:r w:rsidRPr="00CE2FA1">
              <w:rPr>
                <w:b/>
              </w:rPr>
              <w:t>Creators</w:t>
            </w:r>
          </w:p>
        </w:tc>
        <w:tc>
          <w:tcPr>
            <w:tcW w:w="5578" w:type="dxa"/>
          </w:tcPr>
          <w:p w14:paraId="15C5C683" w14:textId="701BB947" w:rsidR="00CE2FA1" w:rsidRDefault="004D3994" w:rsidP="00CE2FA1">
            <w:r>
              <w:t xml:space="preserve">Tanya Hopwood, Nicola </w:t>
            </w:r>
            <w:proofErr w:type="spellStart"/>
            <w:r>
              <w:t>Schutte</w:t>
            </w:r>
            <w:proofErr w:type="spellEnd"/>
            <w:r>
              <w:t xml:space="preserve">, &amp; Natasha </w:t>
            </w:r>
            <w:proofErr w:type="spellStart"/>
            <w:r>
              <w:t>Loi</w:t>
            </w:r>
            <w:proofErr w:type="spellEnd"/>
          </w:p>
        </w:tc>
      </w:tr>
      <w:tr w:rsidR="008C3C73" w14:paraId="15E41ADD" w14:textId="77777777" w:rsidTr="00CE2FA1">
        <w:tc>
          <w:tcPr>
            <w:tcW w:w="3348" w:type="dxa"/>
          </w:tcPr>
          <w:p w14:paraId="3D648695" w14:textId="6AE73B24" w:rsidR="008C3C73" w:rsidRPr="00CE2FA1" w:rsidRDefault="008C3C73" w:rsidP="00CE2FA1">
            <w:pPr>
              <w:rPr>
                <w:b/>
              </w:rPr>
            </w:pPr>
            <w:r>
              <w:rPr>
                <w:b/>
              </w:rPr>
              <w:t>UNE School Affiliation</w:t>
            </w:r>
          </w:p>
        </w:tc>
        <w:tc>
          <w:tcPr>
            <w:tcW w:w="5578" w:type="dxa"/>
          </w:tcPr>
          <w:p w14:paraId="548BE52F" w14:textId="7929623F" w:rsidR="008C3C73" w:rsidRDefault="004D3994" w:rsidP="00CE2FA1">
            <w:r>
              <w:t>Health (Psychology)</w:t>
            </w:r>
          </w:p>
        </w:tc>
      </w:tr>
      <w:tr w:rsidR="00CE2FA1" w14:paraId="5249A4D5" w14:textId="77777777" w:rsidTr="00CE2FA1">
        <w:tc>
          <w:tcPr>
            <w:tcW w:w="3348" w:type="dxa"/>
          </w:tcPr>
          <w:p w14:paraId="1B88EAD2" w14:textId="77777777" w:rsidR="00CE2FA1" w:rsidRPr="00CE2FA1" w:rsidRDefault="00CE2FA1" w:rsidP="00CE2FA1">
            <w:pPr>
              <w:rPr>
                <w:b/>
              </w:rPr>
            </w:pPr>
            <w:r w:rsidRPr="00CE2FA1">
              <w:rPr>
                <w:b/>
              </w:rPr>
              <w:t>Primary contact</w:t>
            </w:r>
          </w:p>
        </w:tc>
        <w:tc>
          <w:tcPr>
            <w:tcW w:w="5578" w:type="dxa"/>
          </w:tcPr>
          <w:p w14:paraId="6EA530AF" w14:textId="118ADD7D" w:rsidR="00CE2FA1" w:rsidRDefault="004D3994" w:rsidP="00CE2FA1">
            <w:r>
              <w:t>Tanya Hopwood</w:t>
            </w:r>
          </w:p>
        </w:tc>
      </w:tr>
      <w:tr w:rsidR="00E37840" w14:paraId="14C95576" w14:textId="77777777" w:rsidTr="00CE2FA1">
        <w:tc>
          <w:tcPr>
            <w:tcW w:w="3348" w:type="dxa"/>
          </w:tcPr>
          <w:p w14:paraId="1A2E9E6B" w14:textId="0A7CFB40" w:rsidR="00E37840" w:rsidRPr="00CE2FA1" w:rsidRDefault="00E37840" w:rsidP="00CE2FA1">
            <w:pPr>
              <w:rPr>
                <w:b/>
              </w:rPr>
            </w:pPr>
            <w:r>
              <w:rPr>
                <w:b/>
              </w:rPr>
              <w:t>Supervisors</w:t>
            </w:r>
          </w:p>
        </w:tc>
        <w:tc>
          <w:tcPr>
            <w:tcW w:w="5578" w:type="dxa"/>
          </w:tcPr>
          <w:p w14:paraId="0980299E" w14:textId="3090E406" w:rsidR="00E37840" w:rsidRDefault="004D3994" w:rsidP="00CE2FA1">
            <w:r>
              <w:t>A/</w:t>
            </w:r>
            <w:proofErr w:type="spellStart"/>
            <w:r>
              <w:t>Prof.</w:t>
            </w:r>
            <w:proofErr w:type="spellEnd"/>
            <w:r>
              <w:t xml:space="preserve"> Nicola </w:t>
            </w:r>
            <w:proofErr w:type="spellStart"/>
            <w:r>
              <w:t>Schutte</w:t>
            </w:r>
            <w:proofErr w:type="spellEnd"/>
            <w:r>
              <w:t xml:space="preserve">, </w:t>
            </w:r>
            <w:proofErr w:type="spellStart"/>
            <w:r>
              <w:t>Dr.</w:t>
            </w:r>
            <w:proofErr w:type="spellEnd"/>
            <w:r>
              <w:t xml:space="preserve"> Natasha </w:t>
            </w:r>
            <w:proofErr w:type="spellStart"/>
            <w:r>
              <w:t>Loi</w:t>
            </w:r>
            <w:proofErr w:type="spellEnd"/>
            <w:r>
              <w:t xml:space="preserve">, &amp; </w:t>
            </w:r>
            <w:r>
              <w:br/>
            </w:r>
            <w:proofErr w:type="spellStart"/>
            <w:r>
              <w:t>Dr.</w:t>
            </w:r>
            <w:proofErr w:type="spellEnd"/>
            <w:r>
              <w:t xml:space="preserve"> William Coventry</w:t>
            </w:r>
          </w:p>
        </w:tc>
      </w:tr>
      <w:tr w:rsidR="00CE2FA1" w14:paraId="55DFC0FE" w14:textId="77777777" w:rsidTr="00CE2FA1">
        <w:tc>
          <w:tcPr>
            <w:tcW w:w="3348" w:type="dxa"/>
          </w:tcPr>
          <w:p w14:paraId="6E455193" w14:textId="77777777" w:rsidR="00CE2FA1" w:rsidRPr="00CE2FA1" w:rsidRDefault="00CE2FA1" w:rsidP="00CE2FA1">
            <w:pPr>
              <w:rPr>
                <w:b/>
              </w:rPr>
            </w:pPr>
            <w:r w:rsidRPr="00CE2FA1">
              <w:rPr>
                <w:b/>
              </w:rPr>
              <w:t>Field of Research (FOR) codes</w:t>
            </w:r>
          </w:p>
        </w:tc>
        <w:tc>
          <w:tcPr>
            <w:tcW w:w="5578" w:type="dxa"/>
          </w:tcPr>
          <w:p w14:paraId="74575834" w14:textId="4F6F1237" w:rsidR="007A7982" w:rsidRDefault="00DD6AD1" w:rsidP="00CE2FA1">
            <w:r>
              <w:t>170106/170109</w:t>
            </w:r>
          </w:p>
        </w:tc>
      </w:tr>
      <w:tr w:rsidR="00CE2FA1" w14:paraId="52AC6F48" w14:textId="77777777" w:rsidTr="00CE2FA1">
        <w:tc>
          <w:tcPr>
            <w:tcW w:w="3348" w:type="dxa"/>
          </w:tcPr>
          <w:p w14:paraId="03FBC517" w14:textId="77777777" w:rsidR="00CE2FA1" w:rsidRPr="00CE2FA1" w:rsidRDefault="00CE2FA1" w:rsidP="00CE2FA1">
            <w:pPr>
              <w:rPr>
                <w:b/>
              </w:rPr>
            </w:pPr>
            <w:r w:rsidRPr="00CE2FA1">
              <w:rPr>
                <w:b/>
              </w:rPr>
              <w:t>Socio-Economic Objective (SEO) codes</w:t>
            </w:r>
          </w:p>
        </w:tc>
        <w:tc>
          <w:tcPr>
            <w:tcW w:w="5578" w:type="dxa"/>
          </w:tcPr>
          <w:p w14:paraId="6CC4BDA6" w14:textId="5FF284A2" w:rsidR="007A7982" w:rsidRDefault="00DD6AD1" w:rsidP="00CE2FA1">
            <w:r>
              <w:t>Expanding knowledge in the above areas.</w:t>
            </w:r>
          </w:p>
        </w:tc>
      </w:tr>
      <w:tr w:rsidR="00CE2FA1" w14:paraId="19103E10" w14:textId="77777777" w:rsidTr="00CE2FA1">
        <w:tc>
          <w:tcPr>
            <w:tcW w:w="3348" w:type="dxa"/>
          </w:tcPr>
          <w:p w14:paraId="3C35FF3D" w14:textId="77777777" w:rsidR="00CE2FA1" w:rsidRPr="00CE2FA1" w:rsidRDefault="00CE2FA1" w:rsidP="00CE2FA1">
            <w:pPr>
              <w:rPr>
                <w:b/>
              </w:rPr>
            </w:pPr>
            <w:r w:rsidRPr="00CE2FA1">
              <w:rPr>
                <w:b/>
              </w:rPr>
              <w:t>Keywords for research subject matter</w:t>
            </w:r>
          </w:p>
        </w:tc>
        <w:tc>
          <w:tcPr>
            <w:tcW w:w="5578" w:type="dxa"/>
          </w:tcPr>
          <w:p w14:paraId="7E8D9814" w14:textId="0D202316" w:rsidR="00CE2FA1" w:rsidRPr="00174922" w:rsidRDefault="00174922" w:rsidP="00CE2FA1">
            <w:r w:rsidRPr="00174922">
              <w:t>A</w:t>
            </w:r>
            <w:r w:rsidRPr="00174922">
              <w:t xml:space="preserve">nticipatory traumatic reaction; media; threat; </w:t>
            </w:r>
            <w:r w:rsidRPr="00174922">
              <w:rPr>
                <w:bCs/>
              </w:rPr>
              <w:t>mindfulness; probability neglect</w:t>
            </w:r>
          </w:p>
        </w:tc>
      </w:tr>
      <w:tr w:rsidR="008C3C73" w14:paraId="58149BE5" w14:textId="77777777" w:rsidTr="00CE2FA1">
        <w:tc>
          <w:tcPr>
            <w:tcW w:w="3348" w:type="dxa"/>
          </w:tcPr>
          <w:p w14:paraId="094BC05B" w14:textId="29AD7E27" w:rsidR="008C3C73" w:rsidRPr="00CE2FA1" w:rsidRDefault="008C3C73" w:rsidP="00CE2FA1">
            <w:pPr>
              <w:rPr>
                <w:b/>
              </w:rPr>
            </w:pPr>
            <w:r>
              <w:rPr>
                <w:b/>
              </w:rPr>
              <w:t>Sensitive/Confidential Content?</w:t>
            </w:r>
          </w:p>
        </w:tc>
        <w:tc>
          <w:tcPr>
            <w:tcW w:w="5578" w:type="dxa"/>
          </w:tcPr>
          <w:p w14:paraId="3A1F267F" w14:textId="5E577EE8" w:rsidR="00E3649B" w:rsidRDefault="00F774A3" w:rsidP="00E3649B">
            <w:r>
              <w:t>Nil</w:t>
            </w:r>
          </w:p>
        </w:tc>
      </w:tr>
      <w:tr w:rsidR="00CE2FA1" w14:paraId="673E0CAD" w14:textId="77777777" w:rsidTr="00CE2FA1">
        <w:tc>
          <w:tcPr>
            <w:tcW w:w="3348" w:type="dxa"/>
          </w:tcPr>
          <w:p w14:paraId="1F29BCF6" w14:textId="6887BB85" w:rsidR="00CE2FA1" w:rsidRPr="00CE2FA1" w:rsidRDefault="00CE2FA1" w:rsidP="00CE2FA1">
            <w:pPr>
              <w:rPr>
                <w:b/>
              </w:rPr>
            </w:pPr>
            <w:r w:rsidRPr="00CE2FA1">
              <w:rPr>
                <w:b/>
              </w:rPr>
              <w:t>Access rights</w:t>
            </w:r>
          </w:p>
        </w:tc>
        <w:tc>
          <w:tcPr>
            <w:tcW w:w="5578" w:type="dxa"/>
          </w:tcPr>
          <w:p w14:paraId="1F42F858" w14:textId="6D7D9C03" w:rsidR="00CE2FA1" w:rsidRDefault="00E93E21" w:rsidP="00CE2FA1">
            <w:r>
              <w:t>Open access</w:t>
            </w:r>
            <w:r w:rsidR="00A85A60">
              <w:t xml:space="preserve"> </w:t>
            </w:r>
          </w:p>
        </w:tc>
      </w:tr>
      <w:tr w:rsidR="00CE2FA1" w14:paraId="545A4376" w14:textId="77777777" w:rsidTr="00CE2FA1">
        <w:tc>
          <w:tcPr>
            <w:tcW w:w="3348" w:type="dxa"/>
          </w:tcPr>
          <w:p w14:paraId="52793857" w14:textId="77777777" w:rsidR="00CE2FA1" w:rsidRPr="00CE2FA1" w:rsidRDefault="00CE2FA1" w:rsidP="00CE2FA1">
            <w:pPr>
              <w:rPr>
                <w:b/>
              </w:rPr>
            </w:pPr>
            <w:r w:rsidRPr="00CE2FA1">
              <w:rPr>
                <w:b/>
              </w:rPr>
              <w:t>Usage License</w:t>
            </w:r>
          </w:p>
        </w:tc>
        <w:tc>
          <w:tcPr>
            <w:tcW w:w="5578" w:type="dxa"/>
          </w:tcPr>
          <w:p w14:paraId="0F73463D" w14:textId="0279F8CB" w:rsidR="00CE2FA1" w:rsidRDefault="00E93E21" w:rsidP="00CE2FA1">
            <w:r>
              <w:t>Research purposes</w:t>
            </w:r>
          </w:p>
        </w:tc>
      </w:tr>
      <w:tr w:rsidR="00CE2FA1" w14:paraId="2C0BD9E8" w14:textId="77777777" w:rsidTr="00CE2FA1">
        <w:tc>
          <w:tcPr>
            <w:tcW w:w="3348" w:type="dxa"/>
          </w:tcPr>
          <w:p w14:paraId="25DAF3A4" w14:textId="77777777" w:rsidR="00CE2FA1" w:rsidRPr="00CE2FA1" w:rsidRDefault="00CE2FA1" w:rsidP="00CE2FA1">
            <w:pPr>
              <w:rPr>
                <w:b/>
              </w:rPr>
            </w:pPr>
            <w:r w:rsidRPr="00CE2FA1">
              <w:rPr>
                <w:b/>
              </w:rPr>
              <w:t>Identifier for the dataset (DOI or other)</w:t>
            </w:r>
          </w:p>
        </w:tc>
        <w:tc>
          <w:tcPr>
            <w:tcW w:w="5578" w:type="dxa"/>
          </w:tcPr>
          <w:p w14:paraId="5BC19206" w14:textId="1C4A466F" w:rsidR="00CE2FA1" w:rsidRDefault="00CE2FA1" w:rsidP="00CE2FA1"/>
        </w:tc>
      </w:tr>
      <w:tr w:rsidR="00CE2FA1" w14:paraId="618D80AF" w14:textId="77777777" w:rsidTr="00CE2FA1">
        <w:tc>
          <w:tcPr>
            <w:tcW w:w="3348" w:type="dxa"/>
          </w:tcPr>
          <w:p w14:paraId="5DB35812" w14:textId="77777777" w:rsidR="00CE2FA1" w:rsidRPr="00CE2FA1" w:rsidRDefault="00CE2FA1" w:rsidP="00CE2FA1">
            <w:pPr>
              <w:rPr>
                <w:b/>
              </w:rPr>
            </w:pPr>
            <w:r w:rsidRPr="00CE2FA1">
              <w:rPr>
                <w:b/>
              </w:rPr>
              <w:t>URL for the data storage</w:t>
            </w:r>
          </w:p>
        </w:tc>
        <w:tc>
          <w:tcPr>
            <w:tcW w:w="5578" w:type="dxa"/>
          </w:tcPr>
          <w:p w14:paraId="44468C9F" w14:textId="687CDD20" w:rsidR="00CE2FA1" w:rsidRDefault="00CE2FA1" w:rsidP="00CE2FA1"/>
        </w:tc>
      </w:tr>
      <w:tr w:rsidR="00CE2FA1" w14:paraId="6AE5F37A" w14:textId="77777777" w:rsidTr="00CE2FA1">
        <w:tc>
          <w:tcPr>
            <w:tcW w:w="3348" w:type="dxa"/>
          </w:tcPr>
          <w:p w14:paraId="0C8E9A03" w14:textId="77777777" w:rsidR="00CE2FA1" w:rsidRPr="00CE2FA1" w:rsidRDefault="00CE2FA1" w:rsidP="00CE2FA1">
            <w:pPr>
              <w:rPr>
                <w:b/>
              </w:rPr>
            </w:pPr>
            <w:r w:rsidRPr="00CE2FA1">
              <w:rPr>
                <w:b/>
              </w:rPr>
              <w:t>Retention period</w:t>
            </w:r>
          </w:p>
        </w:tc>
        <w:tc>
          <w:tcPr>
            <w:tcW w:w="5578" w:type="dxa"/>
          </w:tcPr>
          <w:p w14:paraId="55B70FCC" w14:textId="6D771904" w:rsidR="00E97441" w:rsidRDefault="005D4200" w:rsidP="00CE2FA1">
            <w:r>
              <w:t>5 years</w:t>
            </w:r>
          </w:p>
        </w:tc>
      </w:tr>
      <w:tr w:rsidR="00E97441" w14:paraId="350FE9CF" w14:textId="77777777" w:rsidTr="00CE2FA1">
        <w:tc>
          <w:tcPr>
            <w:tcW w:w="3348" w:type="dxa"/>
          </w:tcPr>
          <w:p w14:paraId="26488BCB" w14:textId="3E8973DB" w:rsidR="00E97441" w:rsidRPr="00CE2FA1" w:rsidRDefault="00E97441" w:rsidP="00CE2FA1">
            <w:pPr>
              <w:rPr>
                <w:b/>
              </w:rPr>
            </w:pPr>
            <w:r>
              <w:rPr>
                <w:b/>
              </w:rPr>
              <w:t>Requested deletion date?</w:t>
            </w:r>
          </w:p>
        </w:tc>
        <w:tc>
          <w:tcPr>
            <w:tcW w:w="5578" w:type="dxa"/>
          </w:tcPr>
          <w:p w14:paraId="4827AC75" w14:textId="7AD2940E" w:rsidR="00E97441" w:rsidRDefault="005D4200" w:rsidP="00CE2FA1">
            <w:r>
              <w:t>As deemed necessary by UNE</w:t>
            </w:r>
          </w:p>
        </w:tc>
      </w:tr>
      <w:tr w:rsidR="00CE2FA1" w14:paraId="30CF45E8" w14:textId="77777777" w:rsidTr="00CE2FA1">
        <w:tc>
          <w:tcPr>
            <w:tcW w:w="3348" w:type="dxa"/>
          </w:tcPr>
          <w:p w14:paraId="12BA7E84" w14:textId="77777777" w:rsidR="00CE2FA1" w:rsidRPr="00CE2FA1" w:rsidRDefault="00CE2FA1" w:rsidP="00CE2FA1">
            <w:pPr>
              <w:rPr>
                <w:b/>
              </w:rPr>
            </w:pPr>
            <w:r w:rsidRPr="00CE2FA1">
              <w:rPr>
                <w:b/>
              </w:rPr>
              <w:t>Quantity of files</w:t>
            </w:r>
          </w:p>
        </w:tc>
        <w:tc>
          <w:tcPr>
            <w:tcW w:w="5578" w:type="dxa"/>
          </w:tcPr>
          <w:p w14:paraId="179456B6" w14:textId="7DF6EBAC" w:rsidR="00CE2FA1" w:rsidRDefault="007C00C9" w:rsidP="00CE2FA1">
            <w:r>
              <w:t>1 SPSS data file</w:t>
            </w:r>
            <w:r w:rsidR="00C94F12">
              <w:t xml:space="preserve"> (.sa</w:t>
            </w:r>
            <w:r w:rsidR="005D4200">
              <w:t>v)</w:t>
            </w:r>
          </w:p>
        </w:tc>
      </w:tr>
      <w:tr w:rsidR="00CE2FA1" w14:paraId="15DFE84D" w14:textId="77777777" w:rsidTr="00CE2FA1">
        <w:tc>
          <w:tcPr>
            <w:tcW w:w="3348" w:type="dxa"/>
          </w:tcPr>
          <w:p w14:paraId="1AB99B31" w14:textId="77777777" w:rsidR="00CE2FA1" w:rsidRPr="00CE2FA1" w:rsidRDefault="00CE2FA1" w:rsidP="00CE2FA1">
            <w:pPr>
              <w:rPr>
                <w:b/>
              </w:rPr>
            </w:pPr>
            <w:r w:rsidRPr="00CE2FA1">
              <w:rPr>
                <w:b/>
              </w:rPr>
              <w:t>Data custodian contact for access</w:t>
            </w:r>
          </w:p>
        </w:tc>
        <w:tc>
          <w:tcPr>
            <w:tcW w:w="5578" w:type="dxa"/>
          </w:tcPr>
          <w:p w14:paraId="5D836C55" w14:textId="367B08CC" w:rsidR="00CE2FA1" w:rsidRDefault="005D4200" w:rsidP="00CE2FA1">
            <w:r>
              <w:t>Tanya Hopwood</w:t>
            </w:r>
          </w:p>
        </w:tc>
      </w:tr>
      <w:tr w:rsidR="00CE2FA1" w14:paraId="23AE5398" w14:textId="77777777" w:rsidTr="00CE2FA1">
        <w:tc>
          <w:tcPr>
            <w:tcW w:w="3348" w:type="dxa"/>
          </w:tcPr>
          <w:p w14:paraId="49DF8945" w14:textId="77777777" w:rsidR="00CE2FA1" w:rsidRPr="00CE2FA1" w:rsidRDefault="00CE2FA1" w:rsidP="00CE2FA1">
            <w:pPr>
              <w:rPr>
                <w:b/>
              </w:rPr>
            </w:pPr>
            <w:r w:rsidRPr="00CE2FA1">
              <w:rPr>
                <w:b/>
              </w:rPr>
              <w:t>Grant numbers associated</w:t>
            </w:r>
          </w:p>
        </w:tc>
        <w:tc>
          <w:tcPr>
            <w:tcW w:w="5578" w:type="dxa"/>
          </w:tcPr>
          <w:p w14:paraId="1FA1F7DB" w14:textId="7C9A22A1" w:rsidR="00CE2FA1" w:rsidRDefault="005D4200" w:rsidP="00CE2FA1">
            <w:r>
              <w:t>Nil</w:t>
            </w:r>
          </w:p>
        </w:tc>
      </w:tr>
      <w:tr w:rsidR="00CE2FA1" w14:paraId="3AD448D9" w14:textId="77777777" w:rsidTr="00CE2FA1">
        <w:tc>
          <w:tcPr>
            <w:tcW w:w="3348" w:type="dxa"/>
          </w:tcPr>
          <w:p w14:paraId="71C9A92F" w14:textId="5DCA11D9" w:rsidR="00CE2FA1" w:rsidRPr="00CE2FA1" w:rsidRDefault="00CE2FA1" w:rsidP="00CE2FA1">
            <w:pPr>
              <w:rPr>
                <w:b/>
              </w:rPr>
            </w:pPr>
            <w:r w:rsidRPr="00CE2FA1">
              <w:rPr>
                <w:b/>
              </w:rPr>
              <w:t>Embargo dat</w:t>
            </w:r>
            <w:r w:rsidR="00CF5EBB">
              <w:rPr>
                <w:b/>
              </w:rPr>
              <w:t>e</w:t>
            </w:r>
          </w:p>
        </w:tc>
        <w:tc>
          <w:tcPr>
            <w:tcW w:w="5578" w:type="dxa"/>
          </w:tcPr>
          <w:p w14:paraId="606C6E67" w14:textId="78BE84DF" w:rsidR="00CE2FA1" w:rsidRDefault="005D4200" w:rsidP="00CE2FA1">
            <w:r>
              <w:t>5</w:t>
            </w:r>
            <w:r w:rsidRPr="005D4200">
              <w:rPr>
                <w:vertAlign w:val="superscript"/>
              </w:rPr>
              <w:t>th</w:t>
            </w:r>
            <w:r>
              <w:t xml:space="preserve"> March, 2020</w:t>
            </w:r>
          </w:p>
        </w:tc>
      </w:tr>
    </w:tbl>
    <w:p w14:paraId="55B1A1AA" w14:textId="77777777" w:rsidR="00CE2FA1" w:rsidRDefault="00CE2FA1" w:rsidP="00B6642C">
      <w:pPr>
        <w:rPr>
          <w:b/>
          <w:sz w:val="32"/>
          <w:szCs w:val="32"/>
        </w:rPr>
      </w:pPr>
    </w:p>
    <w:p w14:paraId="48E8679D" w14:textId="77777777" w:rsidR="00136200" w:rsidRDefault="00136200" w:rsidP="00CE2FA1">
      <w:pPr>
        <w:rPr>
          <w:b/>
          <w:sz w:val="28"/>
          <w:szCs w:val="28"/>
        </w:rPr>
      </w:pPr>
    </w:p>
    <w:p w14:paraId="16DBCF40" w14:textId="77777777" w:rsidR="00136200" w:rsidRDefault="00136200" w:rsidP="00CE2FA1">
      <w:pPr>
        <w:rPr>
          <w:b/>
          <w:sz w:val="28"/>
          <w:szCs w:val="28"/>
        </w:rPr>
      </w:pPr>
    </w:p>
    <w:p w14:paraId="09AA7C3B" w14:textId="6BCFA048" w:rsidR="00136200" w:rsidRDefault="00C94F12" w:rsidP="00CE2FA1">
      <w:pPr>
        <w:rPr>
          <w:b/>
          <w:sz w:val="28"/>
          <w:szCs w:val="28"/>
        </w:rPr>
      </w:pPr>
      <w:r>
        <w:rPr>
          <w:b/>
          <w:sz w:val="28"/>
          <w:szCs w:val="28"/>
        </w:rPr>
        <w:t>Data f</w:t>
      </w:r>
      <w:r w:rsidR="007C00C9">
        <w:rPr>
          <w:b/>
          <w:sz w:val="28"/>
          <w:szCs w:val="28"/>
        </w:rPr>
        <w:t>ile</w:t>
      </w:r>
      <w:r w:rsidR="00136200">
        <w:rPr>
          <w:b/>
          <w:sz w:val="28"/>
          <w:szCs w:val="28"/>
        </w:rPr>
        <w:t xml:space="preserve"> </w:t>
      </w:r>
      <w:r>
        <w:rPr>
          <w:b/>
          <w:sz w:val="28"/>
          <w:szCs w:val="28"/>
        </w:rPr>
        <w:t>related</w:t>
      </w:r>
      <w:r w:rsidR="00136200">
        <w:rPr>
          <w:b/>
          <w:sz w:val="28"/>
          <w:szCs w:val="28"/>
        </w:rPr>
        <w:t xml:space="preserve"> to this form: </w:t>
      </w:r>
    </w:p>
    <w:p w14:paraId="1F5B3107" w14:textId="640501AD" w:rsidR="00CE2FA1" w:rsidRPr="00C94F12" w:rsidRDefault="00C94F12" w:rsidP="00CE2FA1">
      <w:pPr>
        <w:rPr>
          <w:sz w:val="28"/>
          <w:szCs w:val="28"/>
        </w:rPr>
      </w:pPr>
      <w:r w:rsidRPr="00C94F12">
        <w:rPr>
          <w:sz w:val="28"/>
          <w:szCs w:val="28"/>
        </w:rPr>
        <w:t>Hopwood_Data_ThesisStudy</w:t>
      </w:r>
      <w:r w:rsidR="007C00C9">
        <w:rPr>
          <w:sz w:val="28"/>
          <w:szCs w:val="28"/>
        </w:rPr>
        <w:t>6</w:t>
      </w:r>
      <w:r w:rsidRPr="00C94F12">
        <w:rPr>
          <w:sz w:val="28"/>
          <w:szCs w:val="28"/>
        </w:rPr>
        <w:t>.sav</w:t>
      </w:r>
    </w:p>
    <w:p w14:paraId="503E474B" w14:textId="2F1E2D21" w:rsidR="00C94F12" w:rsidRPr="005575B0" w:rsidRDefault="00C94F12" w:rsidP="00CE2FA1">
      <w:pPr>
        <w:rPr>
          <w:b/>
          <w:sz w:val="28"/>
          <w:szCs w:val="28"/>
        </w:rPr>
      </w:pPr>
    </w:p>
    <w:sectPr w:rsidR="00C94F12" w:rsidRPr="005575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Segoe UI">
    <w:panose1 w:val="00000000000000000000"/>
    <w:charset w:val="00"/>
    <w:family w:val="swiss"/>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A745B"/>
    <w:multiLevelType w:val="multilevel"/>
    <w:tmpl w:val="53FC6A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E7C5ED5"/>
    <w:multiLevelType w:val="hybridMultilevel"/>
    <w:tmpl w:val="6310EF24"/>
    <w:lvl w:ilvl="0" w:tplc="0708150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1">
      <w:lvl w:ilvl="1">
        <w:numFmt w:val="bullet"/>
        <w:lvlText w:val=""/>
        <w:lvlJc w:val="left"/>
        <w:pPr>
          <w:tabs>
            <w:tab w:val="num" w:pos="1440"/>
          </w:tabs>
          <w:ind w:left="1440" w:hanging="360"/>
        </w:pPr>
        <w:rPr>
          <w:rFonts w:ascii="Symbol" w:hAnsi="Symbol" w:hint="default"/>
          <w:sz w:val="20"/>
        </w:rPr>
      </w:lvl>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7A6C"/>
    <w:rsid w:val="00002738"/>
    <w:rsid w:val="00136200"/>
    <w:rsid w:val="00174922"/>
    <w:rsid w:val="001B0BD6"/>
    <w:rsid w:val="001D0888"/>
    <w:rsid w:val="00241881"/>
    <w:rsid w:val="00252604"/>
    <w:rsid w:val="002C5680"/>
    <w:rsid w:val="002E31F9"/>
    <w:rsid w:val="00357A6C"/>
    <w:rsid w:val="0043194F"/>
    <w:rsid w:val="004B16BD"/>
    <w:rsid w:val="004D3994"/>
    <w:rsid w:val="00500996"/>
    <w:rsid w:val="005575B0"/>
    <w:rsid w:val="005754DB"/>
    <w:rsid w:val="005D4200"/>
    <w:rsid w:val="00622664"/>
    <w:rsid w:val="00647D7D"/>
    <w:rsid w:val="00727C73"/>
    <w:rsid w:val="007A7982"/>
    <w:rsid w:val="007C00C9"/>
    <w:rsid w:val="00826529"/>
    <w:rsid w:val="0083419C"/>
    <w:rsid w:val="008C3C73"/>
    <w:rsid w:val="00925043"/>
    <w:rsid w:val="009707E7"/>
    <w:rsid w:val="00A123D1"/>
    <w:rsid w:val="00A85A60"/>
    <w:rsid w:val="00B37238"/>
    <w:rsid w:val="00B46B6A"/>
    <w:rsid w:val="00B6642C"/>
    <w:rsid w:val="00BC55F2"/>
    <w:rsid w:val="00C71F8E"/>
    <w:rsid w:val="00C94F12"/>
    <w:rsid w:val="00CE2FA1"/>
    <w:rsid w:val="00CF5EBB"/>
    <w:rsid w:val="00DD6AD1"/>
    <w:rsid w:val="00E037CC"/>
    <w:rsid w:val="00E3649B"/>
    <w:rsid w:val="00E37840"/>
    <w:rsid w:val="00E57EAA"/>
    <w:rsid w:val="00E93E21"/>
    <w:rsid w:val="00E97441"/>
    <w:rsid w:val="00EF3E35"/>
    <w:rsid w:val="00F359A7"/>
    <w:rsid w:val="00F378F9"/>
    <w:rsid w:val="00F774A3"/>
    <w:rsid w:val="00FA449F"/>
    <w:rsid w:val="00FF117D"/>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EED5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27C73"/>
    <w:pPr>
      <w:spacing w:after="0" w:line="480" w:lineRule="auto"/>
      <w:jc w:val="center"/>
      <w:outlineLvl w:val="0"/>
    </w:pPr>
    <w:rPr>
      <w:rFonts w:ascii="Times New Roman" w:eastAsia="Times New Roman" w:hAnsi="Times New Roman" w:cs="Times New Roman"/>
      <w:b/>
      <w:color w:val="000000" w:themeColor="text1"/>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57A6C"/>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styleId="BalloonText">
    <w:name w:val="Balloon Text"/>
    <w:basedOn w:val="Normal"/>
    <w:link w:val="BalloonTextChar"/>
    <w:uiPriority w:val="99"/>
    <w:semiHidden/>
    <w:unhideWhenUsed/>
    <w:rsid w:val="00E57EA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7EAA"/>
    <w:rPr>
      <w:rFonts w:ascii="Segoe UI" w:hAnsi="Segoe UI" w:cs="Segoe UI"/>
      <w:sz w:val="18"/>
      <w:szCs w:val="18"/>
    </w:rPr>
  </w:style>
  <w:style w:type="table" w:styleId="TableGrid">
    <w:name w:val="Table Grid"/>
    <w:basedOn w:val="TableNormal"/>
    <w:uiPriority w:val="39"/>
    <w:rsid w:val="00B664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E2FA1"/>
    <w:pPr>
      <w:ind w:left="720"/>
      <w:contextualSpacing/>
    </w:pPr>
  </w:style>
  <w:style w:type="character" w:styleId="Hyperlink">
    <w:name w:val="Hyperlink"/>
    <w:basedOn w:val="DefaultParagraphFont"/>
    <w:uiPriority w:val="99"/>
    <w:unhideWhenUsed/>
    <w:rsid w:val="005575B0"/>
    <w:rPr>
      <w:color w:val="0563C1" w:themeColor="hyperlink"/>
      <w:u w:val="single"/>
    </w:rPr>
  </w:style>
  <w:style w:type="paragraph" w:styleId="BodyText">
    <w:name w:val="Body Text"/>
    <w:basedOn w:val="Normal"/>
    <w:link w:val="BodyTextChar"/>
    <w:uiPriority w:val="1"/>
    <w:qFormat/>
    <w:rsid w:val="00B37238"/>
    <w:pPr>
      <w:widowControl w:val="0"/>
      <w:spacing w:after="0" w:line="240" w:lineRule="auto"/>
      <w:ind w:left="360"/>
    </w:pPr>
    <w:rPr>
      <w:rFonts w:ascii="Times New Roman" w:eastAsia="Times New Roman" w:hAnsi="Times New Roman"/>
      <w:sz w:val="24"/>
      <w:szCs w:val="24"/>
      <w:lang w:val="en-US"/>
    </w:rPr>
  </w:style>
  <w:style w:type="character" w:customStyle="1" w:styleId="BodyTextChar">
    <w:name w:val="Body Text Char"/>
    <w:basedOn w:val="DefaultParagraphFont"/>
    <w:link w:val="BodyText"/>
    <w:uiPriority w:val="1"/>
    <w:rsid w:val="00B37238"/>
    <w:rPr>
      <w:rFonts w:ascii="Times New Roman" w:eastAsia="Times New Roman" w:hAnsi="Times New Roman"/>
      <w:sz w:val="24"/>
      <w:szCs w:val="24"/>
      <w:lang w:val="en-US"/>
    </w:rPr>
  </w:style>
  <w:style w:type="character" w:styleId="FollowedHyperlink">
    <w:name w:val="FollowedHyperlink"/>
    <w:basedOn w:val="DefaultParagraphFont"/>
    <w:uiPriority w:val="99"/>
    <w:semiHidden/>
    <w:unhideWhenUsed/>
    <w:rsid w:val="001D0888"/>
    <w:rPr>
      <w:color w:val="954F72" w:themeColor="followedHyperlink"/>
      <w:u w:val="single"/>
    </w:rPr>
  </w:style>
  <w:style w:type="character" w:customStyle="1" w:styleId="Heading1Char">
    <w:name w:val="Heading 1 Char"/>
    <w:basedOn w:val="DefaultParagraphFont"/>
    <w:link w:val="Heading1"/>
    <w:uiPriority w:val="9"/>
    <w:rsid w:val="00727C73"/>
    <w:rPr>
      <w:rFonts w:ascii="Times New Roman" w:eastAsia="Times New Roman" w:hAnsi="Times New Roman" w:cs="Times New Roman"/>
      <w:b/>
      <w:color w:val="000000" w:themeColor="text1"/>
      <w:sz w:val="24"/>
      <w:szCs w:val="24"/>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27C73"/>
    <w:pPr>
      <w:spacing w:after="0" w:line="480" w:lineRule="auto"/>
      <w:jc w:val="center"/>
      <w:outlineLvl w:val="0"/>
    </w:pPr>
    <w:rPr>
      <w:rFonts w:ascii="Times New Roman" w:eastAsia="Times New Roman" w:hAnsi="Times New Roman" w:cs="Times New Roman"/>
      <w:b/>
      <w:color w:val="000000" w:themeColor="text1"/>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57A6C"/>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styleId="BalloonText">
    <w:name w:val="Balloon Text"/>
    <w:basedOn w:val="Normal"/>
    <w:link w:val="BalloonTextChar"/>
    <w:uiPriority w:val="99"/>
    <w:semiHidden/>
    <w:unhideWhenUsed/>
    <w:rsid w:val="00E57EA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7EAA"/>
    <w:rPr>
      <w:rFonts w:ascii="Segoe UI" w:hAnsi="Segoe UI" w:cs="Segoe UI"/>
      <w:sz w:val="18"/>
      <w:szCs w:val="18"/>
    </w:rPr>
  </w:style>
  <w:style w:type="table" w:styleId="TableGrid">
    <w:name w:val="Table Grid"/>
    <w:basedOn w:val="TableNormal"/>
    <w:uiPriority w:val="39"/>
    <w:rsid w:val="00B664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E2FA1"/>
    <w:pPr>
      <w:ind w:left="720"/>
      <w:contextualSpacing/>
    </w:pPr>
  </w:style>
  <w:style w:type="character" w:styleId="Hyperlink">
    <w:name w:val="Hyperlink"/>
    <w:basedOn w:val="DefaultParagraphFont"/>
    <w:uiPriority w:val="99"/>
    <w:unhideWhenUsed/>
    <w:rsid w:val="005575B0"/>
    <w:rPr>
      <w:color w:val="0563C1" w:themeColor="hyperlink"/>
      <w:u w:val="single"/>
    </w:rPr>
  </w:style>
  <w:style w:type="paragraph" w:styleId="BodyText">
    <w:name w:val="Body Text"/>
    <w:basedOn w:val="Normal"/>
    <w:link w:val="BodyTextChar"/>
    <w:uiPriority w:val="1"/>
    <w:qFormat/>
    <w:rsid w:val="00B37238"/>
    <w:pPr>
      <w:widowControl w:val="0"/>
      <w:spacing w:after="0" w:line="240" w:lineRule="auto"/>
      <w:ind w:left="360"/>
    </w:pPr>
    <w:rPr>
      <w:rFonts w:ascii="Times New Roman" w:eastAsia="Times New Roman" w:hAnsi="Times New Roman"/>
      <w:sz w:val="24"/>
      <w:szCs w:val="24"/>
      <w:lang w:val="en-US"/>
    </w:rPr>
  </w:style>
  <w:style w:type="character" w:customStyle="1" w:styleId="BodyTextChar">
    <w:name w:val="Body Text Char"/>
    <w:basedOn w:val="DefaultParagraphFont"/>
    <w:link w:val="BodyText"/>
    <w:uiPriority w:val="1"/>
    <w:rsid w:val="00B37238"/>
    <w:rPr>
      <w:rFonts w:ascii="Times New Roman" w:eastAsia="Times New Roman" w:hAnsi="Times New Roman"/>
      <w:sz w:val="24"/>
      <w:szCs w:val="24"/>
      <w:lang w:val="en-US"/>
    </w:rPr>
  </w:style>
  <w:style w:type="character" w:styleId="FollowedHyperlink">
    <w:name w:val="FollowedHyperlink"/>
    <w:basedOn w:val="DefaultParagraphFont"/>
    <w:uiPriority w:val="99"/>
    <w:semiHidden/>
    <w:unhideWhenUsed/>
    <w:rsid w:val="001D0888"/>
    <w:rPr>
      <w:color w:val="954F72" w:themeColor="followedHyperlink"/>
      <w:u w:val="single"/>
    </w:rPr>
  </w:style>
  <w:style w:type="character" w:customStyle="1" w:styleId="Heading1Char">
    <w:name w:val="Heading 1 Char"/>
    <w:basedOn w:val="DefaultParagraphFont"/>
    <w:link w:val="Heading1"/>
    <w:uiPriority w:val="9"/>
    <w:rsid w:val="00727C73"/>
    <w:rPr>
      <w:rFonts w:ascii="Times New Roman" w:eastAsia="Times New Roman" w:hAnsi="Times New Roman" w:cs="Times New Roman"/>
      <w:b/>
      <w:color w:val="000000" w:themeColor="text1"/>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3859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Pages>
  <Words>403</Words>
  <Characters>2303</Characters>
  <Application>Microsoft Macintosh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Minimum Metadata Fields for Research Data</vt:lpstr>
    </vt:vector>
  </TitlesOfParts>
  <Manager/>
  <Company/>
  <LinksUpToDate>false</LinksUpToDate>
  <CharactersWithSpaces>2701</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Minimum Metadata Fields for Research Data</dc:title>
  <dc:subject/>
  <dc:creator>UNE Library</dc:creator>
  <cp:keywords/>
  <dc:description/>
  <cp:lastModifiedBy>Tanya Hopwood</cp:lastModifiedBy>
  <cp:revision>5</cp:revision>
  <cp:lastPrinted>2017-05-29T23:18:00Z</cp:lastPrinted>
  <dcterms:created xsi:type="dcterms:W3CDTF">2018-02-21T12:00:00Z</dcterms:created>
  <dcterms:modified xsi:type="dcterms:W3CDTF">2018-02-21T12:14:00Z</dcterms:modified>
  <cp:category/>
</cp:coreProperties>
</file>